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92" w:rsidRDefault="0059053B" w:rsidP="00750E1A">
      <w:pPr>
        <w:pStyle w:val="berschrift2"/>
        <w:spacing w:before="0" w:line="240" w:lineRule="auto"/>
      </w:pPr>
      <w:r>
        <w:t>Arbeitsblatt</w:t>
      </w:r>
      <w:r w:rsidR="00726245">
        <w:t xml:space="preserve"> </w:t>
      </w:r>
      <w:r w:rsidR="00256000">
        <w:t>–</w:t>
      </w:r>
      <w:r>
        <w:t xml:space="preserve"> </w:t>
      </w:r>
      <w:r w:rsidR="00256000">
        <w:t>Treibhausgase</w:t>
      </w:r>
      <w:r w:rsidR="000018B2">
        <w:t xml:space="preserve"> und ihre Quellen</w:t>
      </w:r>
    </w:p>
    <w:p w:rsidR="00707E11" w:rsidRDefault="00707E11" w:rsidP="00750E1A">
      <w:pPr>
        <w:spacing w:after="0" w:line="240" w:lineRule="auto"/>
      </w:pPr>
    </w:p>
    <w:p w:rsidR="00707E11" w:rsidRPr="00D64525" w:rsidRDefault="002D6CF0" w:rsidP="00750E1A">
      <w:pPr>
        <w:spacing w:after="0" w:line="240" w:lineRule="auto"/>
        <w:rPr>
          <w:b/>
        </w:rPr>
      </w:pPr>
      <w:r w:rsidRPr="00D64525">
        <w:rPr>
          <w:b/>
        </w:rPr>
        <w:t>Kompetenzen: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6CF0" w:rsidTr="002D6CF0">
        <w:tc>
          <w:tcPr>
            <w:tcW w:w="3070" w:type="dxa"/>
          </w:tcPr>
          <w:p w:rsidR="002D6CF0" w:rsidRDefault="002D6CF0" w:rsidP="00750E1A">
            <w:r>
              <w:t>Inhalt</w:t>
            </w:r>
          </w:p>
        </w:tc>
        <w:tc>
          <w:tcPr>
            <w:tcW w:w="3071" w:type="dxa"/>
          </w:tcPr>
          <w:p w:rsidR="002D6CF0" w:rsidRDefault="002D6CF0" w:rsidP="00750E1A">
            <w:proofErr w:type="spellStart"/>
            <w:r>
              <w:t>pbK</w:t>
            </w:r>
            <w:proofErr w:type="spellEnd"/>
          </w:p>
        </w:tc>
        <w:tc>
          <w:tcPr>
            <w:tcW w:w="3071" w:type="dxa"/>
          </w:tcPr>
          <w:p w:rsidR="002D6CF0" w:rsidRDefault="002D6CF0" w:rsidP="00750E1A">
            <w:proofErr w:type="spellStart"/>
            <w:r>
              <w:t>ibK</w:t>
            </w:r>
            <w:proofErr w:type="spellEnd"/>
          </w:p>
        </w:tc>
      </w:tr>
      <w:tr w:rsidR="002D6CF0" w:rsidTr="002D6CF0">
        <w:tc>
          <w:tcPr>
            <w:tcW w:w="3070" w:type="dxa"/>
          </w:tcPr>
          <w:p w:rsidR="002D6CF0" w:rsidRDefault="00293ED6" w:rsidP="0017687C">
            <w:r>
              <w:t>Kohlenstoffdioxid als wichtig</w:t>
            </w:r>
            <w:r>
              <w:t>s</w:t>
            </w:r>
            <w:r>
              <w:t>tes Treibhausgas erkennen</w:t>
            </w:r>
            <w:r w:rsidR="0017687C">
              <w:t xml:space="preserve"> und die hauptsächlichen Produkt</w:t>
            </w:r>
            <w:r w:rsidR="0017687C">
              <w:t>i</w:t>
            </w:r>
            <w:r w:rsidR="0017687C">
              <w:t xml:space="preserve">onsquellen kennen </w:t>
            </w:r>
          </w:p>
        </w:tc>
        <w:tc>
          <w:tcPr>
            <w:tcW w:w="3071" w:type="dxa"/>
          </w:tcPr>
          <w:p w:rsidR="00957DBE" w:rsidRDefault="00957DBE" w:rsidP="00750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="00293ED6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="00293ED6">
              <w:rPr>
                <w:sz w:val="18"/>
                <w:szCs w:val="18"/>
              </w:rPr>
              <w:t>Sachtexte lesen</w:t>
            </w:r>
          </w:p>
          <w:p w:rsidR="00C43C0D" w:rsidRDefault="00E5603B" w:rsidP="00FE0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293E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293ED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293ED6">
              <w:rPr>
                <w:sz w:val="18"/>
                <w:szCs w:val="18"/>
              </w:rPr>
              <w:t>Information aus Diagrammen</w:t>
            </w:r>
          </w:p>
          <w:p w:rsidR="00293ED6" w:rsidRDefault="00293ED6" w:rsidP="00FE0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2.3.8 Risiken von Technologien</w:t>
            </w:r>
          </w:p>
          <w:p w:rsidR="00293ED6" w:rsidRDefault="00293ED6" w:rsidP="00FE0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2.3.9 ökologische Aspekte </w:t>
            </w:r>
            <w:r w:rsidR="00042220">
              <w:rPr>
                <w:sz w:val="18"/>
                <w:szCs w:val="18"/>
              </w:rPr>
              <w:t>diskutieren</w:t>
            </w:r>
          </w:p>
          <w:p w:rsidR="00FE07AA" w:rsidRPr="00E5603B" w:rsidRDefault="00FE07AA" w:rsidP="00042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2.3.10 </w:t>
            </w:r>
            <w:r w:rsidR="00042220">
              <w:rPr>
                <w:sz w:val="18"/>
                <w:szCs w:val="18"/>
              </w:rPr>
              <w:t>persönliche</w:t>
            </w:r>
            <w:r>
              <w:rPr>
                <w:sz w:val="18"/>
                <w:szCs w:val="18"/>
              </w:rPr>
              <w:t xml:space="preserve"> Maßnahmen b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werten</w:t>
            </w:r>
          </w:p>
        </w:tc>
        <w:tc>
          <w:tcPr>
            <w:tcW w:w="3071" w:type="dxa"/>
          </w:tcPr>
          <w:p w:rsidR="007A37F3" w:rsidRDefault="007A37F3" w:rsidP="00293ED6">
            <w:r>
              <w:t>3.3.3 (</w:t>
            </w:r>
            <w:r w:rsidR="00293ED6">
              <w:t>9</w:t>
            </w:r>
            <w:r>
              <w:t>)</w:t>
            </w:r>
            <w:r w:rsidR="00293ED6">
              <w:t xml:space="preserve"> mit Energie sorgsam umgehen</w:t>
            </w:r>
          </w:p>
          <w:p w:rsidR="00293ED6" w:rsidRDefault="00293ED6" w:rsidP="00293ED6">
            <w:r>
              <w:t>3.3.3. (10) Energieversorgung bewerten</w:t>
            </w:r>
          </w:p>
        </w:tc>
      </w:tr>
    </w:tbl>
    <w:p w:rsidR="00726245" w:rsidRPr="00D64525" w:rsidRDefault="00726245" w:rsidP="00E92231">
      <w:pPr>
        <w:spacing w:after="0" w:line="240" w:lineRule="auto"/>
        <w:rPr>
          <w:b/>
        </w:rPr>
      </w:pPr>
      <w:r w:rsidRPr="00D64525">
        <w:rPr>
          <w:b/>
        </w:rPr>
        <w:t>Voraussetzungen:</w:t>
      </w:r>
    </w:p>
    <w:p w:rsidR="0005170E" w:rsidRDefault="00042220" w:rsidP="00E92231">
      <w:pPr>
        <w:spacing w:after="0" w:line="240" w:lineRule="auto"/>
      </w:pPr>
      <w:r>
        <w:t>BNT 3.1.4 (4) Verbrennungen unter dem Aspekt der Energieabgabe</w:t>
      </w:r>
    </w:p>
    <w:p w:rsidR="00042220" w:rsidRDefault="00042220" w:rsidP="00E92231">
      <w:pPr>
        <w:spacing w:after="0" w:line="240" w:lineRule="auto"/>
      </w:pPr>
      <w:r>
        <w:t>BNT 3.1.4 (11) sorgsamer Umgang mit Energie</w:t>
      </w:r>
    </w:p>
    <w:p w:rsidR="006153C3" w:rsidRPr="0017687C" w:rsidRDefault="0017687C" w:rsidP="00E92231">
      <w:pPr>
        <w:spacing w:after="0" w:line="240" w:lineRule="auto"/>
        <w:rPr>
          <w:i/>
        </w:rPr>
      </w:pPr>
      <w:r w:rsidRPr="0017687C">
        <w:rPr>
          <w:i/>
        </w:rPr>
        <w:t>[</w:t>
      </w:r>
      <w:r w:rsidR="006153C3" w:rsidRPr="0017687C">
        <w:rPr>
          <w:i/>
        </w:rPr>
        <w:t>Geografie 3.2.2.3 (4) Möglichkeiten zur Reduktion von Treibhausgasen (Klasse 7/8)</w:t>
      </w:r>
      <w:r w:rsidRPr="0017687C">
        <w:rPr>
          <w:i/>
        </w:rPr>
        <w:t>]</w:t>
      </w:r>
    </w:p>
    <w:p w:rsidR="00FE0D86" w:rsidRPr="0017687C" w:rsidRDefault="0017687C" w:rsidP="00E92231">
      <w:pPr>
        <w:spacing w:after="0" w:line="240" w:lineRule="auto"/>
        <w:rPr>
          <w:i/>
        </w:rPr>
      </w:pPr>
      <w:r w:rsidRPr="0017687C">
        <w:rPr>
          <w:i/>
        </w:rPr>
        <w:t>[</w:t>
      </w:r>
      <w:r w:rsidR="00FE0D86" w:rsidRPr="0017687C">
        <w:rPr>
          <w:i/>
        </w:rPr>
        <w:t xml:space="preserve">Geografie 3.3.3.1 (2) regenerative Energieträger (Klasse 9/10) </w:t>
      </w:r>
      <w:r w:rsidRPr="0017687C">
        <w:rPr>
          <w:i/>
        </w:rPr>
        <w:t>]</w:t>
      </w:r>
    </w:p>
    <w:p w:rsidR="00042220" w:rsidRDefault="00042220" w:rsidP="00E92231">
      <w:pPr>
        <w:spacing w:after="0" w:line="240" w:lineRule="auto"/>
      </w:pPr>
      <w:r>
        <w:t>3.3.3 (8) Treibhauseffekt und Klimaentwicklung</w:t>
      </w:r>
    </w:p>
    <w:p w:rsidR="00726245" w:rsidRDefault="002F778B" w:rsidP="00E92231">
      <w:pPr>
        <w:spacing w:after="0" w:line="240" w:lineRule="auto"/>
      </w:pPr>
      <w:r>
        <w:t>3.3.2 (7) elektrische Energieversorgung</w:t>
      </w:r>
    </w:p>
    <w:p w:rsidR="002F778B" w:rsidRDefault="002F778B" w:rsidP="00E92231">
      <w:pPr>
        <w:spacing w:after="0" w:line="240" w:lineRule="auto"/>
      </w:pPr>
    </w:p>
    <w:p w:rsidR="00E92231" w:rsidRPr="00D64525" w:rsidRDefault="00E92231" w:rsidP="00E92231">
      <w:pPr>
        <w:spacing w:after="0" w:line="240" w:lineRule="auto"/>
        <w:rPr>
          <w:b/>
        </w:rPr>
      </w:pPr>
      <w:r w:rsidRPr="00D64525">
        <w:rPr>
          <w:b/>
        </w:rPr>
        <w:t>Problemstellung:</w:t>
      </w:r>
    </w:p>
    <w:p w:rsidR="00013038" w:rsidRDefault="00D64525" w:rsidP="00275E8A">
      <w:pPr>
        <w:spacing w:after="0" w:line="240" w:lineRule="auto"/>
      </w:pPr>
      <w:r>
        <w:t>Welche Gase sind vermutlich hauptsächlich für den Temperaturanstieg verantwortlich und woher stammen diese?</w:t>
      </w:r>
    </w:p>
    <w:p w:rsidR="00D64525" w:rsidRDefault="00D64525" w:rsidP="00275E8A">
      <w:pPr>
        <w:spacing w:after="0" w:line="240" w:lineRule="auto"/>
      </w:pPr>
    </w:p>
    <w:p w:rsidR="00071B5E" w:rsidRPr="00D64525" w:rsidRDefault="00071B5E" w:rsidP="00275E8A">
      <w:pPr>
        <w:spacing w:after="0" w:line="240" w:lineRule="auto"/>
        <w:rPr>
          <w:b/>
        </w:rPr>
      </w:pPr>
      <w:r w:rsidRPr="00D64525">
        <w:rPr>
          <w:b/>
        </w:rPr>
        <w:t>Ziele:</w:t>
      </w:r>
    </w:p>
    <w:p w:rsidR="00D64525" w:rsidRDefault="003841A9" w:rsidP="00A97484">
      <w:pPr>
        <w:pStyle w:val="Listenabsatz"/>
        <w:numPr>
          <w:ilvl w:val="0"/>
          <w:numId w:val="7"/>
        </w:numPr>
        <w:spacing w:after="0" w:line="240" w:lineRule="auto"/>
      </w:pPr>
      <w:r w:rsidRPr="003841A9">
        <w:t>CO</w:t>
      </w:r>
      <w:r w:rsidRPr="003841A9">
        <w:rPr>
          <w:vertAlign w:val="subscript"/>
        </w:rPr>
        <w:t>2</w:t>
      </w:r>
      <w:r>
        <w:t xml:space="preserve"> als relevantes Treibhausg</w:t>
      </w:r>
      <w:r w:rsidR="00D64525">
        <w:t>as benennen</w:t>
      </w:r>
    </w:p>
    <w:p w:rsidR="00042220" w:rsidRDefault="00042220" w:rsidP="00A97484">
      <w:pPr>
        <w:pStyle w:val="Listenabsatz"/>
        <w:numPr>
          <w:ilvl w:val="0"/>
          <w:numId w:val="7"/>
        </w:numPr>
        <w:spacing w:after="0" w:line="240" w:lineRule="auto"/>
      </w:pPr>
      <w:r>
        <w:t>Rolle der privaten Haushalte bei der Produktion von Treibhausgas</w:t>
      </w:r>
      <w:r w:rsidR="00F4034E">
        <w:t>en erkennen</w:t>
      </w:r>
    </w:p>
    <w:p w:rsidR="003841A9" w:rsidRDefault="003841A9" w:rsidP="00A97484">
      <w:pPr>
        <w:pStyle w:val="Listenabsatz"/>
        <w:numPr>
          <w:ilvl w:val="0"/>
          <w:numId w:val="7"/>
        </w:numPr>
        <w:spacing w:after="0" w:line="240" w:lineRule="auto"/>
      </w:pPr>
      <w:r>
        <w:t>Anteil des Kraftverkehrs am CO</w:t>
      </w:r>
      <w:r>
        <w:rPr>
          <w:vertAlign w:val="subscript"/>
        </w:rPr>
        <w:t>2</w:t>
      </w:r>
      <w:r>
        <w:t>-Aufkommen kennen</w:t>
      </w:r>
    </w:p>
    <w:p w:rsidR="003841A9" w:rsidRDefault="003841A9" w:rsidP="00A97484">
      <w:pPr>
        <w:pStyle w:val="Listenabsatz"/>
        <w:numPr>
          <w:ilvl w:val="0"/>
          <w:numId w:val="7"/>
        </w:numPr>
        <w:spacing w:after="0" w:line="240" w:lineRule="auto"/>
      </w:pPr>
      <w:r>
        <w:t>Die sehr hohe CO</w:t>
      </w:r>
      <w:r>
        <w:rPr>
          <w:vertAlign w:val="subscript"/>
        </w:rPr>
        <w:t>2</w:t>
      </w:r>
      <w:r>
        <w:t xml:space="preserve">-Produktion durch die elektrische Energieversorgung erkennen </w:t>
      </w: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F5E7E" w:rsidRDefault="000F5E7E" w:rsidP="00F4034E">
      <w:pPr>
        <w:spacing w:after="0" w:line="240" w:lineRule="auto"/>
      </w:pPr>
    </w:p>
    <w:p w:rsidR="000018B2" w:rsidRDefault="000018B2" w:rsidP="000018B2">
      <w:pPr>
        <w:pStyle w:val="berschrift2"/>
        <w:spacing w:before="0" w:line="240" w:lineRule="auto"/>
      </w:pPr>
      <w:r>
        <w:lastRenderedPageBreak/>
        <w:t>Arbeitsblatt  –</w:t>
      </w:r>
      <w:r w:rsidR="0059053B">
        <w:t xml:space="preserve"> </w:t>
      </w:r>
      <w:r>
        <w:t>Treibhausgase und ihre Quellen</w:t>
      </w:r>
    </w:p>
    <w:p w:rsidR="000F5E7E" w:rsidRDefault="000F5E7E" w:rsidP="00F4034E">
      <w:pPr>
        <w:spacing w:after="0" w:line="240" w:lineRule="auto"/>
      </w:pPr>
    </w:p>
    <w:p w:rsidR="000F5E7E" w:rsidRPr="000F5E7E" w:rsidRDefault="000F5E7E" w:rsidP="000F5E7E">
      <w:pPr>
        <w:spacing w:after="0" w:line="240" w:lineRule="auto"/>
        <w:rPr>
          <w:b/>
        </w:rPr>
      </w:pPr>
      <w:r w:rsidRPr="000F5E7E">
        <w:rPr>
          <w:b/>
        </w:rPr>
        <w:t>Problemstellung:</w:t>
      </w:r>
    </w:p>
    <w:p w:rsidR="00C8271F" w:rsidRDefault="000F5E7E" w:rsidP="000F5E7E">
      <w:pPr>
        <w:spacing w:after="0" w:line="240" w:lineRule="auto"/>
        <w:rPr>
          <w:noProof/>
          <w:lang w:eastAsia="de-DE"/>
        </w:rPr>
      </w:pPr>
      <w:r>
        <w:t xml:space="preserve">Welche </w:t>
      </w:r>
      <w:r w:rsidR="00C8271F">
        <w:t>Gase sind vermutlich hauptsächlich für den Temperaturanstieg verantwortlich</w:t>
      </w:r>
      <w:r w:rsidR="00C172BF">
        <w:t xml:space="preserve"> und woher stammen diese</w:t>
      </w:r>
      <w:r w:rsidR="00C8271F">
        <w:t>?</w:t>
      </w:r>
      <w:r w:rsidR="003247AD" w:rsidRPr="003247AD">
        <w:rPr>
          <w:noProof/>
          <w:lang w:eastAsia="de-DE"/>
        </w:rPr>
        <w:t xml:space="preserve"> </w:t>
      </w:r>
    </w:p>
    <w:p w:rsidR="00803CA0" w:rsidRDefault="00803CA0" w:rsidP="000F5E7E">
      <w:pPr>
        <w:spacing w:after="0" w:line="240" w:lineRule="auto"/>
      </w:pPr>
    </w:p>
    <w:p w:rsidR="00C537AF" w:rsidRDefault="00C537AF" w:rsidP="0059053B">
      <w:pPr>
        <w:spacing w:after="0" w:line="240" w:lineRule="auto"/>
      </w:pPr>
      <w:r>
        <w:t xml:space="preserve">Gemäß vieler wissenschaftlichen Untersuchungen ist Kohlenstoffdioxid das Treibhausgas, das </w:t>
      </w:r>
      <w:proofErr w:type="gramStart"/>
      <w:r>
        <w:t>zur Zeit</w:t>
      </w:r>
      <w:proofErr w:type="gramEnd"/>
      <w:r>
        <w:t xml:space="preserve"> den größten Anteil am anthropogenen Treibhauseffekt hat. Kohlenstoffdioxid wird hauptsäc</w:t>
      </w:r>
      <w:r>
        <w:t>h</w:t>
      </w:r>
      <w:r>
        <w:t xml:space="preserve">lich bei der Energiebereitstellung durch Verbrennung fossiler Brennstoffe freigesetzt (siehe z.B. </w:t>
      </w:r>
      <w:proofErr w:type="spellStart"/>
      <w:r w:rsidRPr="0059053B">
        <w:t>Mojib</w:t>
      </w:r>
      <w:proofErr w:type="spellEnd"/>
      <w:r w:rsidRPr="0059053B">
        <w:t xml:space="preserve"> Latif: Gl</w:t>
      </w:r>
      <w:r w:rsidRPr="0059053B">
        <w:t>o</w:t>
      </w:r>
      <w:r w:rsidRPr="0059053B">
        <w:t xml:space="preserve">bale Erwärmung, in: </w:t>
      </w:r>
      <w:proofErr w:type="spellStart"/>
      <w:r w:rsidRPr="0059053B">
        <w:t>NiU</w:t>
      </w:r>
      <w:proofErr w:type="spellEnd"/>
      <w:r w:rsidRPr="0059053B">
        <w:t xml:space="preserve"> Chemie, 3(2012), Nr. 23, S. 2</w:t>
      </w:r>
      <w:r>
        <w:t xml:space="preserve">). </w:t>
      </w:r>
    </w:p>
    <w:p w:rsidR="00C537AF" w:rsidRDefault="00C537AF" w:rsidP="0059053B">
      <w:pPr>
        <w:spacing w:after="0" w:line="240" w:lineRule="auto"/>
      </w:pPr>
    </w:p>
    <w:p w:rsidR="00C537AF" w:rsidRDefault="00C537AF" w:rsidP="0059053B">
      <w:pPr>
        <w:spacing w:after="0" w:line="240" w:lineRule="auto"/>
      </w:pPr>
      <w:r>
        <w:t>Daher betrachten wir zur Einordnung im Folgenden den Energiebedarf in Deutschland:</w:t>
      </w:r>
    </w:p>
    <w:p w:rsidR="0059053B" w:rsidRPr="0059053B" w:rsidRDefault="0059053B" w:rsidP="0059053B">
      <w:pPr>
        <w:spacing w:after="0" w:line="240" w:lineRule="auto"/>
      </w:pPr>
    </w:p>
    <w:p w:rsidR="00926310" w:rsidRPr="00926310" w:rsidRDefault="00803CA0" w:rsidP="00926310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55880</wp:posOffset>
            </wp:positionV>
            <wp:extent cx="4005580" cy="2415540"/>
            <wp:effectExtent l="0" t="0" r="13970" b="22860"/>
            <wp:wrapSquare wrapText="bothSides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E74">
        <w:rPr>
          <w:rFonts w:ascii="Calibri" w:eastAsia="Times New Roman" w:hAnsi="Calibri" w:cs="Calibri"/>
          <w:color w:val="000000"/>
          <w:lang w:eastAsia="de-DE"/>
        </w:rPr>
        <w:t xml:space="preserve">Die </w:t>
      </w:r>
      <w:r w:rsidR="000501D2">
        <w:rPr>
          <w:rFonts w:ascii="Calibri" w:eastAsia="Times New Roman" w:hAnsi="Calibri" w:cs="Calibri"/>
          <w:color w:val="000000"/>
          <w:lang w:eastAsia="de-DE"/>
        </w:rPr>
        <w:t>A</w:t>
      </w:r>
      <w:r w:rsidR="000501D2" w:rsidRPr="000501D2">
        <w:rPr>
          <w:rFonts w:ascii="Calibri" w:eastAsia="Times New Roman" w:hAnsi="Calibri" w:cs="Calibri"/>
          <w:color w:val="000000"/>
          <w:lang w:eastAsia="de-DE"/>
        </w:rPr>
        <w:t xml:space="preserve">bbildung </w:t>
      </w:r>
      <w:r w:rsidR="000501D2">
        <w:rPr>
          <w:rFonts w:ascii="Calibri" w:eastAsia="Times New Roman" w:hAnsi="Calibri" w:cs="Calibri"/>
          <w:color w:val="000000"/>
          <w:lang w:eastAsia="de-DE"/>
        </w:rPr>
        <w:t xml:space="preserve">stellt </w:t>
      </w:r>
      <w:r w:rsidR="00EE0AA0">
        <w:rPr>
          <w:rFonts w:ascii="Calibri" w:eastAsia="Times New Roman" w:hAnsi="Calibri" w:cs="Calibri"/>
          <w:color w:val="000000"/>
          <w:lang w:eastAsia="de-DE"/>
        </w:rPr>
        <w:t xml:space="preserve">den </w:t>
      </w:r>
      <w:r w:rsidR="000501D2">
        <w:rPr>
          <w:rFonts w:ascii="Calibri" w:eastAsia="Times New Roman" w:hAnsi="Calibri" w:cs="Calibri"/>
          <w:color w:val="000000"/>
          <w:lang w:eastAsia="de-DE"/>
        </w:rPr>
        <w:t>jäh</w:t>
      </w:r>
      <w:r w:rsidR="000501D2">
        <w:rPr>
          <w:rFonts w:ascii="Calibri" w:eastAsia="Times New Roman" w:hAnsi="Calibri" w:cs="Calibri"/>
          <w:color w:val="000000"/>
          <w:lang w:eastAsia="de-DE"/>
        </w:rPr>
        <w:t>r</w:t>
      </w:r>
      <w:r w:rsidR="000501D2">
        <w:rPr>
          <w:rFonts w:ascii="Calibri" w:eastAsia="Times New Roman" w:hAnsi="Calibri" w:cs="Calibri"/>
          <w:color w:val="000000"/>
          <w:lang w:eastAsia="de-DE"/>
        </w:rPr>
        <w:t xml:space="preserve">lichen Energiebedarf </w:t>
      </w:r>
      <w:r w:rsidR="00EE0AA0">
        <w:rPr>
          <w:rFonts w:ascii="Calibri" w:eastAsia="Times New Roman" w:hAnsi="Calibri" w:cs="Calibri"/>
          <w:color w:val="000000"/>
          <w:lang w:eastAsia="de-DE"/>
        </w:rPr>
        <w:t>Deutschlands</w:t>
      </w:r>
      <w:r w:rsidR="000501D2">
        <w:rPr>
          <w:rFonts w:ascii="Calibri" w:eastAsia="Times New Roman" w:hAnsi="Calibri" w:cs="Calibri"/>
          <w:color w:val="000000"/>
          <w:lang w:eastAsia="de-DE"/>
        </w:rPr>
        <w:t xml:space="preserve"> im Jahr 20</w:t>
      </w:r>
      <w:r w:rsidR="00EE0AA0">
        <w:rPr>
          <w:rFonts w:ascii="Calibri" w:eastAsia="Times New Roman" w:hAnsi="Calibri" w:cs="Calibri"/>
          <w:color w:val="000000"/>
          <w:lang w:eastAsia="de-DE"/>
        </w:rPr>
        <w:t>12</w:t>
      </w:r>
      <w:r w:rsidR="000501D2">
        <w:rPr>
          <w:rFonts w:ascii="Calibri" w:eastAsia="Times New Roman" w:hAnsi="Calibri" w:cs="Calibri"/>
          <w:color w:val="000000"/>
          <w:lang w:eastAsia="de-DE"/>
        </w:rPr>
        <w:t xml:space="preserve"> in der Einheit </w:t>
      </w:r>
      <w:r w:rsidR="00EE0AA0">
        <w:rPr>
          <w:rFonts w:ascii="Calibri" w:eastAsia="Times New Roman" w:hAnsi="Calibri" w:cs="Calibri"/>
          <w:color w:val="000000"/>
          <w:lang w:eastAsia="de-DE"/>
        </w:rPr>
        <w:t>PJ</w:t>
      </w:r>
      <w:r w:rsidR="000501D2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EE0AA0">
        <w:rPr>
          <w:rFonts w:ascii="Calibri" w:eastAsia="Times New Roman" w:hAnsi="Calibri" w:cs="Calibri"/>
          <w:color w:val="000000"/>
          <w:lang w:eastAsia="de-DE"/>
        </w:rPr>
        <w:t>= 1∙10</w:t>
      </w:r>
      <w:r w:rsidR="00EE0AA0">
        <w:rPr>
          <w:rFonts w:ascii="Calibri" w:eastAsia="Times New Roman" w:hAnsi="Calibri" w:cs="Calibri"/>
          <w:color w:val="000000"/>
          <w:vertAlign w:val="superscript"/>
          <w:lang w:eastAsia="de-DE"/>
        </w:rPr>
        <w:t>15</w:t>
      </w:r>
      <w:r w:rsidR="00EE0AA0">
        <w:rPr>
          <w:rFonts w:ascii="Calibri" w:eastAsia="Times New Roman" w:hAnsi="Calibri" w:cs="Calibri"/>
          <w:color w:val="000000"/>
          <w:lang w:eastAsia="de-DE"/>
        </w:rPr>
        <w:t xml:space="preserve"> J ≈ 278 </w:t>
      </w:r>
      <w:proofErr w:type="spellStart"/>
      <w:r w:rsidR="00EE0AA0">
        <w:rPr>
          <w:rFonts w:ascii="Calibri" w:eastAsia="Times New Roman" w:hAnsi="Calibri" w:cs="Calibri"/>
          <w:color w:val="000000"/>
          <w:lang w:eastAsia="de-DE"/>
        </w:rPr>
        <w:t>GWh</w:t>
      </w:r>
      <w:proofErr w:type="spellEnd"/>
      <w:r w:rsidR="00EE0AA0">
        <w:rPr>
          <w:rFonts w:ascii="Calibri" w:eastAsia="Times New Roman" w:hAnsi="Calibri" w:cs="Calibri"/>
          <w:color w:val="000000"/>
          <w:lang w:eastAsia="de-DE"/>
        </w:rPr>
        <w:t xml:space="preserve"> dar.</w:t>
      </w:r>
      <w:r w:rsidR="00926310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396BEE">
        <w:rPr>
          <w:rFonts w:ascii="Calibri" w:eastAsia="Times New Roman" w:hAnsi="Calibri" w:cs="Calibri"/>
          <w:color w:val="000000"/>
          <w:lang w:eastAsia="de-DE"/>
        </w:rPr>
        <w:t>Der jährliche G</w:t>
      </w:r>
      <w:r w:rsidR="00396BEE">
        <w:rPr>
          <w:rFonts w:ascii="Calibri" w:eastAsia="Times New Roman" w:hAnsi="Calibri" w:cs="Calibri"/>
          <w:color w:val="000000"/>
          <w:lang w:eastAsia="de-DE"/>
        </w:rPr>
        <w:t>e</w:t>
      </w:r>
      <w:r w:rsidR="00396BEE">
        <w:rPr>
          <w:rFonts w:ascii="Calibri" w:eastAsia="Times New Roman" w:hAnsi="Calibri" w:cs="Calibri"/>
          <w:color w:val="000000"/>
          <w:lang w:eastAsia="de-DE"/>
        </w:rPr>
        <w:t xml:space="preserve">samtenergiebedarf entspricht der </w:t>
      </w:r>
      <w:r w:rsidR="00C172BF">
        <w:rPr>
          <w:rFonts w:ascii="Calibri" w:eastAsia="Times New Roman" w:hAnsi="Calibri" w:cs="Calibri"/>
          <w:color w:val="000000"/>
          <w:lang w:eastAsia="de-DE"/>
        </w:rPr>
        <w:t>in einem Jahr abgegeb</w:t>
      </w:r>
      <w:r w:rsidR="00C172BF">
        <w:rPr>
          <w:rFonts w:ascii="Calibri" w:eastAsia="Times New Roman" w:hAnsi="Calibri" w:cs="Calibri"/>
          <w:color w:val="000000"/>
          <w:lang w:eastAsia="de-DE"/>
        </w:rPr>
        <w:t>e</w:t>
      </w:r>
      <w:r w:rsidR="00C172BF">
        <w:rPr>
          <w:rFonts w:ascii="Calibri" w:eastAsia="Times New Roman" w:hAnsi="Calibri" w:cs="Calibri"/>
          <w:color w:val="000000"/>
          <w:lang w:eastAsia="de-DE"/>
        </w:rPr>
        <w:t xml:space="preserve">nen </w:t>
      </w:r>
      <w:r w:rsidR="00396BEE">
        <w:rPr>
          <w:rFonts w:ascii="Calibri" w:eastAsia="Times New Roman" w:hAnsi="Calibri" w:cs="Calibri"/>
          <w:color w:val="000000"/>
          <w:lang w:eastAsia="de-DE"/>
        </w:rPr>
        <w:t xml:space="preserve">Energiemenge von </w:t>
      </w:r>
      <w:r w:rsidR="00C2500C">
        <w:rPr>
          <w:rFonts w:ascii="Calibri" w:eastAsia="Times New Roman" w:hAnsi="Calibri" w:cs="Calibri"/>
          <w:color w:val="000000"/>
          <w:lang w:eastAsia="de-DE"/>
        </w:rPr>
        <w:t xml:space="preserve">etwa </w:t>
      </w:r>
      <w:r w:rsidR="00C172BF">
        <w:rPr>
          <w:rFonts w:ascii="Calibri" w:eastAsia="Times New Roman" w:hAnsi="Calibri" w:cs="Calibri"/>
          <w:color w:val="000000"/>
          <w:lang w:eastAsia="de-DE"/>
        </w:rPr>
        <w:t>400</w:t>
      </w:r>
      <w:r w:rsidR="00396BEE">
        <w:rPr>
          <w:rFonts w:ascii="Calibri" w:eastAsia="Times New Roman" w:hAnsi="Calibri" w:cs="Calibri"/>
          <w:color w:val="000000"/>
          <w:lang w:eastAsia="de-DE"/>
        </w:rPr>
        <w:t xml:space="preserve"> Kraftwerken mit jeweils 1000 MW Leis</w:t>
      </w:r>
      <w:r w:rsidR="00C172BF">
        <w:rPr>
          <w:rFonts w:ascii="Calibri" w:eastAsia="Times New Roman" w:hAnsi="Calibri" w:cs="Calibri"/>
          <w:color w:val="000000"/>
          <w:lang w:eastAsia="de-DE"/>
        </w:rPr>
        <w:t xml:space="preserve">tung. </w:t>
      </w:r>
      <w:r w:rsidR="00CA5E74">
        <w:rPr>
          <w:rFonts w:ascii="Calibri" w:eastAsia="Times New Roman" w:hAnsi="Calibri" w:cs="Calibri"/>
          <w:color w:val="000000"/>
          <w:lang w:eastAsia="de-DE"/>
        </w:rPr>
        <w:br/>
      </w:r>
      <w:r w:rsidR="00926310" w:rsidRPr="00926310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[Daten</w:t>
      </w:r>
      <w:r w:rsidR="00926310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q</w:t>
      </w:r>
      <w:r w:rsidR="00926310" w:rsidRPr="00926310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 xml:space="preserve">uelle: </w:t>
      </w:r>
      <w:proofErr w:type="spellStart"/>
      <w:r w:rsidR="00926310" w:rsidRPr="00926310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DLR_School_Info</w:t>
      </w:r>
      <w:proofErr w:type="spellEnd"/>
      <w:r w:rsidR="00926310" w:rsidRPr="00926310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 xml:space="preserve"> Energie, Schülerinformation Heft 1 (2012), S. 23</w:t>
      </w:r>
      <w:r w:rsidR="00926310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]</w:t>
      </w:r>
    </w:p>
    <w:p w:rsidR="00AD751F" w:rsidRDefault="00AD751F" w:rsidP="00803CA0">
      <w:pPr>
        <w:spacing w:after="0"/>
        <w:rPr>
          <w:rFonts w:ascii="Calibri" w:eastAsia="Times New Roman" w:hAnsi="Calibri" w:cs="Calibri"/>
          <w:b/>
          <w:color w:val="000000"/>
          <w:lang w:eastAsia="de-DE"/>
        </w:rPr>
      </w:pPr>
    </w:p>
    <w:p w:rsidR="000501D2" w:rsidRPr="000F5E7E" w:rsidRDefault="000501D2" w:rsidP="00803CA0">
      <w:pPr>
        <w:spacing w:after="0"/>
        <w:rPr>
          <w:rFonts w:ascii="Calibri" w:eastAsia="Times New Roman" w:hAnsi="Calibri" w:cs="Calibri"/>
          <w:b/>
          <w:color w:val="000000"/>
          <w:lang w:eastAsia="de-DE"/>
        </w:rPr>
      </w:pPr>
      <w:r w:rsidRPr="000F5E7E">
        <w:rPr>
          <w:rFonts w:ascii="Calibri" w:eastAsia="Times New Roman" w:hAnsi="Calibri" w:cs="Calibri"/>
          <w:b/>
          <w:color w:val="000000"/>
          <w:lang w:eastAsia="de-DE"/>
        </w:rPr>
        <w:t>Aufgabe</w:t>
      </w:r>
      <w:r w:rsidR="000F5E7E">
        <w:rPr>
          <w:rFonts w:ascii="Calibri" w:eastAsia="Times New Roman" w:hAnsi="Calibri" w:cs="Calibri"/>
          <w:b/>
          <w:color w:val="000000"/>
          <w:lang w:eastAsia="de-DE"/>
        </w:rPr>
        <w:t>n</w:t>
      </w:r>
      <w:r w:rsidRPr="000F5E7E">
        <w:rPr>
          <w:rFonts w:ascii="Calibri" w:eastAsia="Times New Roman" w:hAnsi="Calibri" w:cs="Calibri"/>
          <w:b/>
          <w:color w:val="000000"/>
          <w:lang w:eastAsia="de-DE"/>
        </w:rPr>
        <w:t>:</w:t>
      </w:r>
      <w:r w:rsidR="00EE0AA0" w:rsidRPr="000F5E7E">
        <w:rPr>
          <w:b/>
          <w:noProof/>
          <w:lang w:eastAsia="de-DE"/>
        </w:rPr>
        <w:t xml:space="preserve"> </w:t>
      </w:r>
    </w:p>
    <w:p w:rsidR="00926310" w:rsidRDefault="00C172BF" w:rsidP="00803CA0">
      <w:pPr>
        <w:pStyle w:val="Listenabsatz"/>
        <w:numPr>
          <w:ilvl w:val="0"/>
          <w:numId w:val="19"/>
        </w:numPr>
        <w:spacing w:after="60"/>
        <w:ind w:left="568" w:hanging="284"/>
        <w:contextualSpacing w:val="0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Erkundige dich über </w:t>
      </w:r>
      <w:r w:rsidR="00926310">
        <w:rPr>
          <w:rFonts w:ascii="Calibri" w:eastAsia="Times New Roman" w:hAnsi="Calibri" w:cs="Calibri"/>
          <w:color w:val="000000"/>
          <w:lang w:eastAsia="de-DE"/>
        </w:rPr>
        <w:t xml:space="preserve"> den Begriff „Primär</w:t>
      </w:r>
      <w:r w:rsidR="00396BEE">
        <w:rPr>
          <w:rFonts w:ascii="Calibri" w:eastAsia="Times New Roman" w:hAnsi="Calibri" w:cs="Calibri"/>
          <w:color w:val="000000"/>
          <w:lang w:eastAsia="de-DE"/>
        </w:rPr>
        <w:t>energie“</w:t>
      </w:r>
      <w:r w:rsidR="00C50522">
        <w:rPr>
          <w:rFonts w:ascii="Calibri" w:eastAsia="Times New Roman" w:hAnsi="Calibri" w:cs="Calibri"/>
          <w:color w:val="000000"/>
          <w:lang w:eastAsia="de-DE"/>
        </w:rPr>
        <w:t>.</w:t>
      </w:r>
    </w:p>
    <w:p w:rsidR="000501D2" w:rsidRDefault="00926310" w:rsidP="000F5E7E">
      <w:pPr>
        <w:pStyle w:val="Listenabsatz"/>
        <w:numPr>
          <w:ilvl w:val="0"/>
          <w:numId w:val="19"/>
        </w:numPr>
        <w:spacing w:before="60" w:after="60"/>
        <w:ind w:left="568" w:hanging="284"/>
        <w:contextualSpacing w:val="0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Erläutere</w:t>
      </w:r>
      <w:r w:rsidR="00C2500C">
        <w:rPr>
          <w:rFonts w:ascii="Calibri" w:eastAsia="Times New Roman" w:hAnsi="Calibri" w:cs="Calibri"/>
          <w:color w:val="000000"/>
          <w:lang w:eastAsia="de-DE"/>
        </w:rPr>
        <w:t xml:space="preserve"> anhand </w:t>
      </w:r>
      <w:r w:rsidR="005E6946">
        <w:rPr>
          <w:rFonts w:ascii="Calibri" w:eastAsia="Times New Roman" w:hAnsi="Calibri" w:cs="Calibri"/>
          <w:color w:val="000000"/>
          <w:lang w:eastAsia="de-DE"/>
        </w:rPr>
        <w:t>der Abbildung</w:t>
      </w:r>
      <w:r w:rsidR="00C172BF">
        <w:rPr>
          <w:rFonts w:ascii="Calibri" w:eastAsia="Times New Roman" w:hAnsi="Calibri" w:cs="Calibri"/>
          <w:color w:val="000000"/>
          <w:lang w:eastAsia="de-DE"/>
        </w:rPr>
        <w:t>en</w:t>
      </w:r>
      <w:r>
        <w:rPr>
          <w:rFonts w:ascii="Calibri" w:eastAsia="Times New Roman" w:hAnsi="Calibri" w:cs="Calibri"/>
          <w:color w:val="000000"/>
          <w:lang w:eastAsia="de-DE"/>
        </w:rPr>
        <w:t xml:space="preserve">, </w:t>
      </w:r>
      <w:r w:rsidR="00C50522">
        <w:rPr>
          <w:rFonts w:ascii="Calibri" w:eastAsia="Times New Roman" w:hAnsi="Calibri" w:cs="Calibri"/>
          <w:color w:val="000000"/>
          <w:lang w:eastAsia="de-DE"/>
        </w:rPr>
        <w:t>welche Maßnahmen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C2500C">
        <w:rPr>
          <w:rFonts w:ascii="Calibri" w:eastAsia="Times New Roman" w:hAnsi="Calibri" w:cs="Calibri"/>
          <w:color w:val="000000"/>
          <w:lang w:eastAsia="de-DE"/>
        </w:rPr>
        <w:t xml:space="preserve">im Alltagsleben </w:t>
      </w:r>
      <w:r w:rsidR="005E6946">
        <w:rPr>
          <w:rFonts w:ascii="Calibri" w:eastAsia="Times New Roman" w:hAnsi="Calibri" w:cs="Calibri"/>
          <w:color w:val="000000"/>
          <w:lang w:eastAsia="de-DE"/>
        </w:rPr>
        <w:t>die Temperaturerh</w:t>
      </w:r>
      <w:r w:rsidR="005E6946">
        <w:rPr>
          <w:rFonts w:ascii="Calibri" w:eastAsia="Times New Roman" w:hAnsi="Calibri" w:cs="Calibri"/>
          <w:color w:val="000000"/>
          <w:lang w:eastAsia="de-DE"/>
        </w:rPr>
        <w:t>ö</w:t>
      </w:r>
      <w:r w:rsidR="005E6946">
        <w:rPr>
          <w:rFonts w:ascii="Calibri" w:eastAsia="Times New Roman" w:hAnsi="Calibri" w:cs="Calibri"/>
          <w:color w:val="000000"/>
          <w:lang w:eastAsia="de-DE"/>
        </w:rPr>
        <w:t xml:space="preserve">hung der Erde </w:t>
      </w:r>
      <w:r w:rsidR="00C172BF">
        <w:rPr>
          <w:rFonts w:ascii="Calibri" w:eastAsia="Times New Roman" w:hAnsi="Calibri" w:cs="Calibri"/>
          <w:color w:val="000000"/>
          <w:lang w:eastAsia="de-DE"/>
        </w:rPr>
        <w:t xml:space="preserve">wohl </w:t>
      </w:r>
      <w:r>
        <w:rPr>
          <w:rFonts w:ascii="Calibri" w:eastAsia="Times New Roman" w:hAnsi="Calibri" w:cs="Calibri"/>
          <w:color w:val="000000"/>
          <w:lang w:eastAsia="de-DE"/>
        </w:rPr>
        <w:t xml:space="preserve">am </w:t>
      </w:r>
      <w:r w:rsidR="00C172BF">
        <w:rPr>
          <w:rFonts w:ascii="Calibri" w:eastAsia="Times New Roman" w:hAnsi="Calibri" w:cs="Calibri"/>
          <w:color w:val="000000"/>
          <w:lang w:eastAsia="de-DE"/>
        </w:rPr>
        <w:t>besten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5E6946">
        <w:rPr>
          <w:rFonts w:ascii="Calibri" w:eastAsia="Times New Roman" w:hAnsi="Calibri" w:cs="Calibri"/>
          <w:color w:val="000000"/>
          <w:lang w:eastAsia="de-DE"/>
        </w:rPr>
        <w:t>bremsen können</w:t>
      </w:r>
      <w:r>
        <w:rPr>
          <w:rFonts w:ascii="Calibri" w:eastAsia="Times New Roman" w:hAnsi="Calibri" w:cs="Calibri"/>
          <w:color w:val="000000"/>
          <w:lang w:eastAsia="de-DE"/>
        </w:rPr>
        <w:t xml:space="preserve">. </w:t>
      </w:r>
    </w:p>
    <w:p w:rsidR="00926310" w:rsidRDefault="005E6946" w:rsidP="000F5E7E">
      <w:pPr>
        <w:pStyle w:val="Listenabsatz"/>
        <w:numPr>
          <w:ilvl w:val="0"/>
          <w:numId w:val="19"/>
        </w:numPr>
        <w:spacing w:before="60" w:after="60"/>
        <w:ind w:left="568" w:hanging="284"/>
        <w:contextualSpacing w:val="0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Elektrische Energie (Strom)</w:t>
      </w:r>
      <w:r w:rsidR="00C172BF">
        <w:rPr>
          <w:rFonts w:ascii="Calibri" w:eastAsia="Times New Roman" w:hAnsi="Calibri" w:cs="Calibri"/>
          <w:color w:val="000000"/>
          <w:lang w:eastAsia="de-DE"/>
        </w:rPr>
        <w:t xml:space="preserve"> muss nicht mehr allein</w:t>
      </w:r>
      <w:r w:rsidR="00926310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2F778B">
        <w:rPr>
          <w:rFonts w:ascii="Calibri" w:eastAsia="Times New Roman" w:hAnsi="Calibri" w:cs="Calibri"/>
          <w:color w:val="000000"/>
          <w:lang w:eastAsia="de-DE"/>
        </w:rPr>
        <w:t>durch</w:t>
      </w:r>
      <w:r w:rsidR="00926310">
        <w:rPr>
          <w:rFonts w:ascii="Calibri" w:eastAsia="Times New Roman" w:hAnsi="Calibri" w:cs="Calibri"/>
          <w:color w:val="000000"/>
          <w:lang w:eastAsia="de-DE"/>
        </w:rPr>
        <w:t xml:space="preserve"> eine Verbrennung fossiler Brennsto</w:t>
      </w:r>
      <w:r w:rsidR="00926310">
        <w:rPr>
          <w:rFonts w:ascii="Calibri" w:eastAsia="Times New Roman" w:hAnsi="Calibri" w:cs="Calibri"/>
          <w:color w:val="000000"/>
          <w:lang w:eastAsia="de-DE"/>
        </w:rPr>
        <w:t>f</w:t>
      </w:r>
      <w:r w:rsidR="00926310">
        <w:rPr>
          <w:rFonts w:ascii="Calibri" w:eastAsia="Times New Roman" w:hAnsi="Calibri" w:cs="Calibri"/>
          <w:color w:val="000000"/>
          <w:lang w:eastAsia="de-DE"/>
        </w:rPr>
        <w:t xml:space="preserve">fe </w:t>
      </w:r>
      <w:r w:rsidR="00C172BF">
        <w:rPr>
          <w:rFonts w:ascii="Calibri" w:eastAsia="Times New Roman" w:hAnsi="Calibri" w:cs="Calibri"/>
          <w:color w:val="000000"/>
          <w:lang w:eastAsia="de-DE"/>
        </w:rPr>
        <w:t>bereitgestellt</w:t>
      </w:r>
      <w:r w:rsidR="002F778B">
        <w:rPr>
          <w:rFonts w:ascii="Calibri" w:eastAsia="Times New Roman" w:hAnsi="Calibri" w:cs="Calibri"/>
          <w:color w:val="000000"/>
          <w:lang w:eastAsia="de-DE"/>
        </w:rPr>
        <w:t xml:space="preserve"> werden</w:t>
      </w:r>
      <w:r w:rsidR="00926310">
        <w:rPr>
          <w:rFonts w:ascii="Calibri" w:eastAsia="Times New Roman" w:hAnsi="Calibri" w:cs="Calibri"/>
          <w:color w:val="000000"/>
          <w:lang w:eastAsia="de-DE"/>
        </w:rPr>
        <w:t xml:space="preserve">. Erläutere, </w:t>
      </w:r>
      <w:r w:rsidR="002F778B">
        <w:rPr>
          <w:rFonts w:ascii="Calibri" w:eastAsia="Times New Roman" w:hAnsi="Calibri" w:cs="Calibri"/>
          <w:color w:val="000000"/>
          <w:lang w:eastAsia="de-DE"/>
        </w:rPr>
        <w:t>durch welche Kraftwerke die Produktion von Treibhausg</w:t>
      </w:r>
      <w:r w:rsidR="002F778B">
        <w:rPr>
          <w:rFonts w:ascii="Calibri" w:eastAsia="Times New Roman" w:hAnsi="Calibri" w:cs="Calibri"/>
          <w:color w:val="000000"/>
          <w:lang w:eastAsia="de-DE"/>
        </w:rPr>
        <w:t>a</w:t>
      </w:r>
      <w:r w:rsidR="002F778B">
        <w:rPr>
          <w:rFonts w:ascii="Calibri" w:eastAsia="Times New Roman" w:hAnsi="Calibri" w:cs="Calibri"/>
          <w:color w:val="000000"/>
          <w:lang w:eastAsia="de-DE"/>
        </w:rPr>
        <w:t xml:space="preserve">sen </w:t>
      </w:r>
      <w:r w:rsidR="00926310">
        <w:rPr>
          <w:rFonts w:ascii="Calibri" w:eastAsia="Times New Roman" w:hAnsi="Calibri" w:cs="Calibri"/>
          <w:color w:val="000000"/>
          <w:lang w:eastAsia="de-DE"/>
        </w:rPr>
        <w:t xml:space="preserve"> verringert werden kann. </w:t>
      </w:r>
    </w:p>
    <w:p w:rsidR="004C5522" w:rsidRPr="002F778B" w:rsidRDefault="00CA5E74" w:rsidP="000F5E7E">
      <w:pPr>
        <w:pStyle w:val="Listenabsatz"/>
        <w:numPr>
          <w:ilvl w:val="0"/>
          <w:numId w:val="19"/>
        </w:numPr>
        <w:spacing w:before="60" w:after="60" w:line="240" w:lineRule="auto"/>
        <w:ind w:left="568" w:hanging="284"/>
        <w:contextualSpacing w:val="0"/>
      </w:pPr>
      <w:r>
        <w:rPr>
          <w:rFonts w:ascii="Calibri" w:eastAsia="Times New Roman" w:hAnsi="Calibri" w:cs="Calibri"/>
          <w:color w:val="000000"/>
          <w:lang w:eastAsia="de-DE"/>
        </w:rPr>
        <w:t>Recherchiere und e</w:t>
      </w:r>
      <w:r w:rsidR="002F778B" w:rsidRPr="002F778B">
        <w:rPr>
          <w:rFonts w:ascii="Calibri" w:eastAsia="Times New Roman" w:hAnsi="Calibri" w:cs="Calibri"/>
          <w:color w:val="000000"/>
          <w:lang w:eastAsia="de-DE"/>
        </w:rPr>
        <w:t>rkläre</w:t>
      </w:r>
      <w:r w:rsidR="005E6946">
        <w:rPr>
          <w:rFonts w:ascii="Calibri" w:eastAsia="Times New Roman" w:hAnsi="Calibri" w:cs="Calibri"/>
          <w:color w:val="000000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lang w:eastAsia="de-DE"/>
        </w:rPr>
        <w:t xml:space="preserve">anschließend </w:t>
      </w:r>
      <w:r w:rsidR="005E6946">
        <w:rPr>
          <w:rFonts w:ascii="Calibri" w:eastAsia="Times New Roman" w:hAnsi="Calibri" w:cs="Calibri"/>
          <w:color w:val="000000"/>
          <w:lang w:eastAsia="de-DE"/>
        </w:rPr>
        <w:t xml:space="preserve">den Grund für die </w:t>
      </w:r>
      <w:r w:rsidR="002F778B" w:rsidRPr="002F778B">
        <w:rPr>
          <w:rFonts w:ascii="Calibri" w:eastAsia="Times New Roman" w:hAnsi="Calibri" w:cs="Calibri"/>
          <w:color w:val="000000"/>
          <w:lang w:eastAsia="de-DE"/>
        </w:rPr>
        <w:t>hohen V</w:t>
      </w:r>
      <w:r w:rsidR="007A795F">
        <w:rPr>
          <w:rFonts w:ascii="Calibri" w:eastAsia="Times New Roman" w:hAnsi="Calibri" w:cs="Calibri"/>
          <w:color w:val="000000"/>
          <w:lang w:eastAsia="de-DE"/>
        </w:rPr>
        <w:t>erluste</w:t>
      </w:r>
      <w:r w:rsidR="005E6946">
        <w:rPr>
          <w:rFonts w:ascii="Calibri" w:eastAsia="Times New Roman" w:hAnsi="Calibri" w:cs="Calibri"/>
          <w:color w:val="000000"/>
          <w:lang w:eastAsia="de-DE"/>
        </w:rPr>
        <w:t xml:space="preserve"> bei der Stromerze</w:t>
      </w:r>
      <w:r w:rsidR="005E6946">
        <w:rPr>
          <w:rFonts w:ascii="Calibri" w:eastAsia="Times New Roman" w:hAnsi="Calibri" w:cs="Calibri"/>
          <w:color w:val="000000"/>
          <w:lang w:eastAsia="de-DE"/>
        </w:rPr>
        <w:t>u</w:t>
      </w:r>
      <w:r w:rsidR="005E6946">
        <w:rPr>
          <w:rFonts w:ascii="Calibri" w:eastAsia="Times New Roman" w:hAnsi="Calibri" w:cs="Calibri"/>
          <w:color w:val="000000"/>
          <w:lang w:eastAsia="de-DE"/>
        </w:rPr>
        <w:t>gung</w:t>
      </w:r>
      <w:r w:rsidR="002F778B" w:rsidRPr="002F778B">
        <w:rPr>
          <w:rFonts w:ascii="Calibri" w:eastAsia="Times New Roman" w:hAnsi="Calibri" w:cs="Calibri"/>
          <w:color w:val="000000"/>
          <w:lang w:eastAsia="de-DE"/>
        </w:rPr>
        <w:t xml:space="preserve">. </w:t>
      </w:r>
    </w:p>
    <w:p w:rsidR="003247AD" w:rsidRPr="00D64525" w:rsidRDefault="00C50522" w:rsidP="003247AD">
      <w:pPr>
        <w:pStyle w:val="Listenabsatz"/>
        <w:numPr>
          <w:ilvl w:val="0"/>
          <w:numId w:val="19"/>
        </w:numPr>
        <w:spacing w:before="60" w:after="60" w:line="240" w:lineRule="auto"/>
        <w:ind w:left="568" w:hanging="284"/>
        <w:contextualSpacing w:val="0"/>
      </w:pPr>
      <w:r w:rsidRPr="001B7853">
        <w:rPr>
          <w:rFonts w:ascii="Calibri" w:eastAsia="Times New Roman" w:hAnsi="Calibri" w:cs="Calibri"/>
          <w:color w:val="000000"/>
          <w:lang w:eastAsia="de-DE"/>
        </w:rPr>
        <w:t xml:space="preserve">Du willst ein neues Haus bauen, das einen möglichst geringen Energiebedarf hat. Beschreibe, worauf man nach </w:t>
      </w:r>
      <w:r w:rsidR="00456E88">
        <w:rPr>
          <w:rFonts w:ascii="Calibri" w:eastAsia="Times New Roman" w:hAnsi="Calibri" w:cs="Calibri"/>
          <w:color w:val="000000"/>
          <w:lang w:eastAsia="de-DE"/>
        </w:rPr>
        <w:t>den Informationen aus der</w:t>
      </w:r>
      <w:r w:rsidR="00C537AF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1B7853">
        <w:rPr>
          <w:rFonts w:ascii="Calibri" w:eastAsia="Times New Roman" w:hAnsi="Calibri" w:cs="Calibri"/>
          <w:color w:val="000000"/>
          <w:lang w:eastAsia="de-DE"/>
        </w:rPr>
        <w:t xml:space="preserve">Abbildung </w:t>
      </w:r>
      <w:r w:rsidR="005E6946" w:rsidRPr="001B7853">
        <w:rPr>
          <w:rFonts w:ascii="Calibri" w:eastAsia="Times New Roman" w:hAnsi="Calibri" w:cs="Calibri"/>
          <w:color w:val="000000"/>
          <w:lang w:eastAsia="de-DE"/>
        </w:rPr>
        <w:t xml:space="preserve">besonders </w:t>
      </w:r>
      <w:r w:rsidRPr="001B7853">
        <w:rPr>
          <w:rFonts w:ascii="Calibri" w:eastAsia="Times New Roman" w:hAnsi="Calibri" w:cs="Calibri"/>
          <w:color w:val="000000"/>
          <w:lang w:eastAsia="de-DE"/>
        </w:rPr>
        <w:t xml:space="preserve">achten sollte. </w:t>
      </w:r>
      <w:bookmarkStart w:id="0" w:name="_GoBack"/>
      <w:bookmarkEnd w:id="0"/>
    </w:p>
    <w:p w:rsidR="00846FA5" w:rsidRDefault="00846FA5" w:rsidP="00D64525">
      <w:pPr>
        <w:pStyle w:val="berschrift2"/>
        <w:spacing w:before="0" w:line="240" w:lineRule="auto"/>
      </w:pPr>
    </w:p>
    <w:p w:rsidR="00846FA5" w:rsidRDefault="00846FA5" w:rsidP="00D64525">
      <w:pPr>
        <w:pStyle w:val="berschrift2"/>
        <w:spacing w:before="0" w:line="240" w:lineRule="auto"/>
      </w:pPr>
    </w:p>
    <w:p w:rsidR="00846FA5" w:rsidRDefault="00846FA5" w:rsidP="00D64525">
      <w:pPr>
        <w:pStyle w:val="berschrift2"/>
        <w:spacing w:before="0" w:line="240" w:lineRule="auto"/>
      </w:pPr>
    </w:p>
    <w:p w:rsidR="00846FA5" w:rsidRDefault="00846FA5" w:rsidP="00D64525">
      <w:pPr>
        <w:pStyle w:val="berschrift2"/>
        <w:spacing w:before="0" w:line="240" w:lineRule="auto"/>
      </w:pPr>
    </w:p>
    <w:p w:rsidR="00846FA5" w:rsidRDefault="00846FA5" w:rsidP="00D64525">
      <w:pPr>
        <w:pStyle w:val="berschrift2"/>
        <w:spacing w:before="0" w:line="240" w:lineRule="auto"/>
      </w:pPr>
    </w:p>
    <w:p w:rsidR="00846FA5" w:rsidRDefault="00846FA5" w:rsidP="00D64525">
      <w:pPr>
        <w:pStyle w:val="berschrift2"/>
        <w:spacing w:before="0" w:line="240" w:lineRule="auto"/>
      </w:pPr>
    </w:p>
    <w:p w:rsidR="00846FA5" w:rsidRDefault="00846FA5" w:rsidP="00D64525">
      <w:pPr>
        <w:pStyle w:val="berschrift2"/>
        <w:spacing w:before="0" w:line="240" w:lineRule="auto"/>
      </w:pPr>
    </w:p>
    <w:p w:rsidR="00846FA5" w:rsidRDefault="00846FA5" w:rsidP="00D64525">
      <w:pPr>
        <w:pStyle w:val="berschrift2"/>
        <w:spacing w:before="0" w:line="240" w:lineRule="auto"/>
      </w:pPr>
    </w:p>
    <w:p w:rsidR="00846FA5" w:rsidRPr="00846FA5" w:rsidRDefault="00846FA5" w:rsidP="00846FA5"/>
    <w:p w:rsidR="00D64525" w:rsidRDefault="00D64525" w:rsidP="00D64525">
      <w:pPr>
        <w:pStyle w:val="berschrift2"/>
        <w:spacing w:before="0" w:line="240" w:lineRule="auto"/>
      </w:pPr>
      <w:r>
        <w:lastRenderedPageBreak/>
        <w:t>Arbeitsblatt  – Treibhausgase und ihre Quellen - Lösungen</w:t>
      </w:r>
    </w:p>
    <w:p w:rsidR="00D64525" w:rsidRDefault="00D64525" w:rsidP="00D64525">
      <w:pPr>
        <w:pStyle w:val="Listenabsatz"/>
        <w:spacing w:before="60" w:after="60" w:line="240" w:lineRule="auto"/>
        <w:ind w:left="284" w:hanging="284"/>
        <w:contextualSpacing w:val="0"/>
      </w:pPr>
    </w:p>
    <w:p w:rsidR="00D64525" w:rsidRDefault="00D64525" w:rsidP="00D64525">
      <w:pPr>
        <w:pStyle w:val="Listenabsatz"/>
        <w:spacing w:before="60" w:after="60" w:line="240" w:lineRule="auto"/>
        <w:ind w:left="567" w:hanging="567"/>
        <w:contextualSpacing w:val="0"/>
      </w:pPr>
      <w:r>
        <w:t xml:space="preserve">Zu 1.: Mit Primärenergie bezeichnet man die </w:t>
      </w:r>
      <w:r w:rsidRPr="00D64525">
        <w:t>Energie</w:t>
      </w:r>
      <w:r>
        <w:t>, die mit den ursprünglich vorkommenden Ene</w:t>
      </w:r>
      <w:r>
        <w:t>r</w:t>
      </w:r>
      <w:r>
        <w:t xml:space="preserve">gieformen zur Verfügung steht, etwa als Brennstoff, aber auch Energieträger wie Sonne, Wind oder </w:t>
      </w:r>
      <w:r w:rsidRPr="00D64525">
        <w:t>Kernbrennstoffe</w:t>
      </w:r>
      <w:r>
        <w:t xml:space="preserve">.  </w:t>
      </w:r>
    </w:p>
    <w:p w:rsidR="00D64525" w:rsidRDefault="00D64525" w:rsidP="00D64525">
      <w:pPr>
        <w:pStyle w:val="Listenabsatz"/>
        <w:spacing w:before="60" w:after="60" w:line="240" w:lineRule="auto"/>
        <w:ind w:left="567" w:hanging="567"/>
        <w:contextualSpacing w:val="0"/>
      </w:pPr>
    </w:p>
    <w:p w:rsidR="00D64525" w:rsidRDefault="00D64525" w:rsidP="00D64525">
      <w:pPr>
        <w:pStyle w:val="Listenabsatz"/>
        <w:spacing w:before="60" w:after="60" w:line="240" w:lineRule="auto"/>
        <w:ind w:left="567" w:hanging="567"/>
        <w:contextualSpacing w:val="0"/>
      </w:pPr>
      <w:r>
        <w:t>Zu 2.:</w:t>
      </w:r>
      <w:r>
        <w:tab/>
        <w:t xml:space="preserve">Der Anteil an der Strombereitstellung ist inklusive der Verluste mit </w:t>
      </w:r>
      <w:r w:rsidR="00D935CF">
        <w:t xml:space="preserve">44% am größten, gefolgt von der Wärmeerzeugung mit 36%. Das bedeutet, dass der Bedarf an elektrischer Energie im Haushalt gesenkt werden sollte. Weiter ist eine Wärmedämmung von Häusern notwendig, um die erforderliche Wärmeenergie zu reduzieren. </w:t>
      </w:r>
    </w:p>
    <w:p w:rsidR="00D935CF" w:rsidRDefault="00D935CF" w:rsidP="00D64525">
      <w:pPr>
        <w:pStyle w:val="Listenabsatz"/>
        <w:spacing w:before="60" w:after="60" w:line="240" w:lineRule="auto"/>
        <w:ind w:left="567" w:hanging="567"/>
        <w:contextualSpacing w:val="0"/>
      </w:pPr>
    </w:p>
    <w:p w:rsidR="00D935CF" w:rsidRDefault="00D935CF" w:rsidP="00D64525">
      <w:pPr>
        <w:pStyle w:val="Listenabsatz"/>
        <w:spacing w:before="60" w:after="60" w:line="240" w:lineRule="auto"/>
        <w:ind w:left="567" w:hanging="567"/>
        <w:contextualSpacing w:val="0"/>
      </w:pPr>
      <w:r>
        <w:t xml:space="preserve">Zu 3.: Die elektrische Energie kann auch durch Wasser-, Wind- oder Solarkraftwerke bereitgestellt werden. Da diese im Betrieb keine Treibhausgase freisetzen, wird die produzierte Menge an diesen Gasen verringert. </w:t>
      </w:r>
    </w:p>
    <w:p w:rsidR="00D935CF" w:rsidRDefault="00D935CF" w:rsidP="00D64525">
      <w:pPr>
        <w:pStyle w:val="Listenabsatz"/>
        <w:spacing w:before="60" w:after="60" w:line="240" w:lineRule="auto"/>
        <w:ind w:left="567" w:hanging="567"/>
        <w:contextualSpacing w:val="0"/>
      </w:pPr>
    </w:p>
    <w:p w:rsidR="00D935CF" w:rsidRDefault="00D935CF" w:rsidP="00D64525">
      <w:pPr>
        <w:pStyle w:val="Listenabsatz"/>
        <w:spacing w:before="60" w:after="60" w:line="240" w:lineRule="auto"/>
        <w:ind w:left="567" w:hanging="567"/>
        <w:contextualSpacing w:val="0"/>
      </w:pPr>
      <w:r>
        <w:t xml:space="preserve">Zu 4.: Der hohe Wert bei den Verlusten bei der Stromerzeugung kommt durch die Übertragung der elektrischen Energie. Hierbei sind Leitungsverluste und Verluste durch Energieabstrahlung die Hauptgründe. </w:t>
      </w:r>
    </w:p>
    <w:p w:rsidR="00D935CF" w:rsidRDefault="00D935CF" w:rsidP="00D64525">
      <w:pPr>
        <w:pStyle w:val="Listenabsatz"/>
        <w:spacing w:before="60" w:after="60" w:line="240" w:lineRule="auto"/>
        <w:ind w:left="567" w:hanging="567"/>
        <w:contextualSpacing w:val="0"/>
      </w:pPr>
    </w:p>
    <w:p w:rsidR="00D935CF" w:rsidRDefault="00D935CF" w:rsidP="00D64525">
      <w:pPr>
        <w:pStyle w:val="Listenabsatz"/>
        <w:spacing w:before="60" w:after="60" w:line="240" w:lineRule="auto"/>
        <w:ind w:left="567" w:hanging="567"/>
        <w:contextualSpacing w:val="0"/>
      </w:pPr>
      <w:r>
        <w:t xml:space="preserve">Zu 5.: Das Haus sollte möglichst gut isoliert gegen Wärmeverluste sein. Durch große Scheiben zum Süden kann man im Winter die Strahlungsenergie der Sonne zusätzlich nutzen. Weiter sollte das Haus </w:t>
      </w:r>
      <w:r w:rsidR="0017687C">
        <w:t xml:space="preserve">bezüglich des Bedarfs an elektrischer Energie intelligent verschaltet sein, z.B. durch Bewegungsmelder. </w:t>
      </w:r>
    </w:p>
    <w:sectPr w:rsidR="00D935C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D4" w:rsidRDefault="009308D4" w:rsidP="00726245">
      <w:pPr>
        <w:spacing w:after="0" w:line="240" w:lineRule="auto"/>
      </w:pPr>
      <w:r>
        <w:separator/>
      </w:r>
    </w:p>
  </w:endnote>
  <w:endnote w:type="continuationSeparator" w:id="0">
    <w:p w:rsidR="009308D4" w:rsidRDefault="009308D4" w:rsidP="0072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835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35CF" w:rsidRDefault="00D935CF" w:rsidP="001D65E3">
            <w:pPr>
              <w:pStyle w:val="Fuzeile"/>
            </w:pPr>
            <w:r>
              <w:t>Arbeitsblatt  – Treibhausgase und ihre Quellen</w:t>
            </w:r>
            <w:r w:rsidR="001D65E3">
              <w:t xml:space="preserve"> – nicht fürs Internet </w:t>
            </w:r>
            <w:r>
              <w:t xml:space="preserve">                                     </w:t>
            </w:r>
            <w:r w:rsidR="001D65E3">
              <w:t xml:space="preserve"> </w:t>
            </w: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E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E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5CF" w:rsidRDefault="00D935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D4" w:rsidRDefault="009308D4" w:rsidP="00726245">
      <w:pPr>
        <w:spacing w:after="0" w:line="240" w:lineRule="auto"/>
      </w:pPr>
      <w:r>
        <w:separator/>
      </w:r>
    </w:p>
  </w:footnote>
  <w:footnote w:type="continuationSeparator" w:id="0">
    <w:p w:rsidR="009308D4" w:rsidRDefault="009308D4" w:rsidP="0072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1B65"/>
    <w:multiLevelType w:val="hybridMultilevel"/>
    <w:tmpl w:val="4CBACE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110A3"/>
    <w:multiLevelType w:val="hybridMultilevel"/>
    <w:tmpl w:val="FD78A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C1AF0"/>
    <w:multiLevelType w:val="hybridMultilevel"/>
    <w:tmpl w:val="336A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C3E7B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C60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89B20F3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B5E3B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9C17C50"/>
    <w:multiLevelType w:val="hybridMultilevel"/>
    <w:tmpl w:val="B6C42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638FB"/>
    <w:multiLevelType w:val="hybridMultilevel"/>
    <w:tmpl w:val="53AA0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53510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03C27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B1E"/>
    <w:multiLevelType w:val="hybridMultilevel"/>
    <w:tmpl w:val="B17EB5DE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F6E5981"/>
    <w:multiLevelType w:val="hybridMultilevel"/>
    <w:tmpl w:val="C2D4D5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536A2"/>
    <w:multiLevelType w:val="hybridMultilevel"/>
    <w:tmpl w:val="5B7E67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947A7"/>
    <w:multiLevelType w:val="hybridMultilevel"/>
    <w:tmpl w:val="33A46A2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14"/>
  </w:num>
  <w:num w:numId="9">
    <w:abstractNumId w:val="12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  <w:num w:numId="15">
    <w:abstractNumId w:val="16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018B2"/>
    <w:rsid w:val="00013038"/>
    <w:rsid w:val="00037072"/>
    <w:rsid w:val="00042220"/>
    <w:rsid w:val="000501D2"/>
    <w:rsid w:val="0005170E"/>
    <w:rsid w:val="00071B5E"/>
    <w:rsid w:val="00073202"/>
    <w:rsid w:val="000A1D02"/>
    <w:rsid w:val="000E0E88"/>
    <w:rsid w:val="000E4D99"/>
    <w:rsid w:val="000F3BAE"/>
    <w:rsid w:val="000F5E7E"/>
    <w:rsid w:val="00102035"/>
    <w:rsid w:val="0017687C"/>
    <w:rsid w:val="00180903"/>
    <w:rsid w:val="001B7853"/>
    <w:rsid w:val="001C0BF5"/>
    <w:rsid w:val="001C1751"/>
    <w:rsid w:val="001D65E3"/>
    <w:rsid w:val="001E0EDA"/>
    <w:rsid w:val="001E58E7"/>
    <w:rsid w:val="001F34EE"/>
    <w:rsid w:val="00235AE3"/>
    <w:rsid w:val="00256000"/>
    <w:rsid w:val="00275E8A"/>
    <w:rsid w:val="00287A0A"/>
    <w:rsid w:val="00293ED6"/>
    <w:rsid w:val="002967DA"/>
    <w:rsid w:val="002A50DC"/>
    <w:rsid w:val="002D3E65"/>
    <w:rsid w:val="002D6CF0"/>
    <w:rsid w:val="002D7C49"/>
    <w:rsid w:val="002F5C1B"/>
    <w:rsid w:val="002F778B"/>
    <w:rsid w:val="003247AD"/>
    <w:rsid w:val="00324ECD"/>
    <w:rsid w:val="00326A94"/>
    <w:rsid w:val="003433D3"/>
    <w:rsid w:val="003841A9"/>
    <w:rsid w:val="00396BEE"/>
    <w:rsid w:val="003C3C87"/>
    <w:rsid w:val="003F2C8B"/>
    <w:rsid w:val="00405139"/>
    <w:rsid w:val="0045224F"/>
    <w:rsid w:val="0045594B"/>
    <w:rsid w:val="00456E88"/>
    <w:rsid w:val="004707D9"/>
    <w:rsid w:val="00475CFD"/>
    <w:rsid w:val="004C5522"/>
    <w:rsid w:val="004F45E0"/>
    <w:rsid w:val="00501A3F"/>
    <w:rsid w:val="005334CA"/>
    <w:rsid w:val="0056791B"/>
    <w:rsid w:val="00574655"/>
    <w:rsid w:val="00584EBB"/>
    <w:rsid w:val="00585212"/>
    <w:rsid w:val="0059053B"/>
    <w:rsid w:val="00593CF3"/>
    <w:rsid w:val="005A2BA9"/>
    <w:rsid w:val="005B1772"/>
    <w:rsid w:val="005B3A3C"/>
    <w:rsid w:val="005C13FD"/>
    <w:rsid w:val="005C31E1"/>
    <w:rsid w:val="005C5D51"/>
    <w:rsid w:val="005C70CE"/>
    <w:rsid w:val="005D1B44"/>
    <w:rsid w:val="005D58F9"/>
    <w:rsid w:val="005E2351"/>
    <w:rsid w:val="005E2B68"/>
    <w:rsid w:val="005E6946"/>
    <w:rsid w:val="006153C3"/>
    <w:rsid w:val="0068733D"/>
    <w:rsid w:val="006A0772"/>
    <w:rsid w:val="006C521A"/>
    <w:rsid w:val="006E42D1"/>
    <w:rsid w:val="00707E11"/>
    <w:rsid w:val="007142FF"/>
    <w:rsid w:val="00726245"/>
    <w:rsid w:val="00730FE2"/>
    <w:rsid w:val="00750E1A"/>
    <w:rsid w:val="007A37F3"/>
    <w:rsid w:val="007A795F"/>
    <w:rsid w:val="00803CA0"/>
    <w:rsid w:val="0081758F"/>
    <w:rsid w:val="00840044"/>
    <w:rsid w:val="00846FA5"/>
    <w:rsid w:val="008C1CC7"/>
    <w:rsid w:val="008E33E4"/>
    <w:rsid w:val="008F5419"/>
    <w:rsid w:val="0090181F"/>
    <w:rsid w:val="00912448"/>
    <w:rsid w:val="00926310"/>
    <w:rsid w:val="009308D4"/>
    <w:rsid w:val="00933FEB"/>
    <w:rsid w:val="009542B9"/>
    <w:rsid w:val="0095589A"/>
    <w:rsid w:val="00957DBE"/>
    <w:rsid w:val="00A25692"/>
    <w:rsid w:val="00A45E41"/>
    <w:rsid w:val="00A5104A"/>
    <w:rsid w:val="00A95884"/>
    <w:rsid w:val="00A97484"/>
    <w:rsid w:val="00AB4CDF"/>
    <w:rsid w:val="00AC4C7C"/>
    <w:rsid w:val="00AD222F"/>
    <w:rsid w:val="00AD751F"/>
    <w:rsid w:val="00AF4865"/>
    <w:rsid w:val="00B11EE5"/>
    <w:rsid w:val="00B22571"/>
    <w:rsid w:val="00B2316E"/>
    <w:rsid w:val="00B81FFE"/>
    <w:rsid w:val="00B85B3D"/>
    <w:rsid w:val="00BA4AF9"/>
    <w:rsid w:val="00BB4386"/>
    <w:rsid w:val="00BC307E"/>
    <w:rsid w:val="00BF1D7B"/>
    <w:rsid w:val="00BF3812"/>
    <w:rsid w:val="00BF7E98"/>
    <w:rsid w:val="00C00941"/>
    <w:rsid w:val="00C10495"/>
    <w:rsid w:val="00C172BF"/>
    <w:rsid w:val="00C2500C"/>
    <w:rsid w:val="00C43C0D"/>
    <w:rsid w:val="00C50522"/>
    <w:rsid w:val="00C537AF"/>
    <w:rsid w:val="00C76EC3"/>
    <w:rsid w:val="00C8271F"/>
    <w:rsid w:val="00CA0BD9"/>
    <w:rsid w:val="00CA5E74"/>
    <w:rsid w:val="00CA6662"/>
    <w:rsid w:val="00CF0306"/>
    <w:rsid w:val="00CF654B"/>
    <w:rsid w:val="00D1520D"/>
    <w:rsid w:val="00D23AC9"/>
    <w:rsid w:val="00D33825"/>
    <w:rsid w:val="00D64525"/>
    <w:rsid w:val="00D872F5"/>
    <w:rsid w:val="00D935CF"/>
    <w:rsid w:val="00D95891"/>
    <w:rsid w:val="00D96F28"/>
    <w:rsid w:val="00DA015E"/>
    <w:rsid w:val="00DB682B"/>
    <w:rsid w:val="00DC5BB7"/>
    <w:rsid w:val="00DF1EC5"/>
    <w:rsid w:val="00DF4F0D"/>
    <w:rsid w:val="00E03F82"/>
    <w:rsid w:val="00E161E8"/>
    <w:rsid w:val="00E5603B"/>
    <w:rsid w:val="00E57F45"/>
    <w:rsid w:val="00E6400D"/>
    <w:rsid w:val="00E6684B"/>
    <w:rsid w:val="00E74E7D"/>
    <w:rsid w:val="00E82E12"/>
    <w:rsid w:val="00E92231"/>
    <w:rsid w:val="00E96B43"/>
    <w:rsid w:val="00E975AA"/>
    <w:rsid w:val="00EC2F8C"/>
    <w:rsid w:val="00EC3E3A"/>
    <w:rsid w:val="00ED668B"/>
    <w:rsid w:val="00EE0AA0"/>
    <w:rsid w:val="00EE6EA6"/>
    <w:rsid w:val="00F21B97"/>
    <w:rsid w:val="00F234D2"/>
    <w:rsid w:val="00F248F3"/>
    <w:rsid w:val="00F36CDA"/>
    <w:rsid w:val="00F4034E"/>
    <w:rsid w:val="00F4627C"/>
    <w:rsid w:val="00FB158E"/>
    <w:rsid w:val="00FE07AA"/>
    <w:rsid w:val="00FE0D86"/>
    <w:rsid w:val="00FF6C7B"/>
    <w:rsid w:val="00FF6F80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paragraph" w:styleId="StandardWeb">
    <w:name w:val="Normal (Web)"/>
    <w:basedOn w:val="Standard"/>
    <w:uiPriority w:val="99"/>
    <w:semiHidden/>
    <w:unhideWhenUsed/>
    <w:rsid w:val="000501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paragraph" w:styleId="StandardWeb">
    <w:name w:val="Normal (Web)"/>
    <w:basedOn w:val="Standard"/>
    <w:uiPriority w:val="99"/>
    <w:semiHidden/>
    <w:unhideWhenUsed/>
    <w:rsid w:val="000501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L:\Fachberater\ZPG\ZPG_V\Arbeitsb&#246;gen%20f&#252;r%20moodle%20neu\3.2_Ursachen%20des%20Klimawandels\Einsatz%20von%20Prim&#228;renergie%20in%20Deutschlan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Einsatz von Primärenergie in Deutschland 2012 in PJ</a:t>
            </a:r>
          </a:p>
        </c:rich>
      </c:tx>
      <c:layout>
        <c:manualLayout>
          <c:xMode val="edge"/>
          <c:yMode val="edge"/>
          <c:x val="0.19503573143930023"/>
          <c:y val="3.16022671079158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20000"/>
                <a:lumOff val="80000"/>
              </a:schemeClr>
            </a:solidFill>
            <a:ln w="22225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Tabelle1!$A$10:$D$10</c:f>
              <c:strCache>
                <c:ptCount val="4"/>
                <c:pt idx="0">
                  <c:v>Wärmeerzeugung</c:v>
                </c:pt>
                <c:pt idx="1">
                  <c:v>Kraftstoffe</c:v>
                </c:pt>
                <c:pt idx="2">
                  <c:v>Erzeugter Strom</c:v>
                </c:pt>
                <c:pt idx="3">
                  <c:v>Verluste bei der Stromerzeugung</c:v>
                </c:pt>
              </c:strCache>
            </c:strRef>
          </c:cat>
          <c:val>
            <c:numRef>
              <c:f>Tabelle1!$A$11:$D$11</c:f>
              <c:numCache>
                <c:formatCode>General</c:formatCode>
                <c:ptCount val="4"/>
                <c:pt idx="0">
                  <c:v>4500</c:v>
                </c:pt>
                <c:pt idx="1">
                  <c:v>2500</c:v>
                </c:pt>
                <c:pt idx="2">
                  <c:v>2000</c:v>
                </c:pt>
                <c:pt idx="3">
                  <c:v>3500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85334400"/>
        <c:axId val="338687104"/>
      </c:barChart>
      <c:catAx>
        <c:axId val="485334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de-DE"/>
          </a:p>
        </c:txPr>
        <c:crossAx val="338687104"/>
        <c:crosses val="autoZero"/>
        <c:auto val="1"/>
        <c:lblAlgn val="ctr"/>
        <c:lblOffset val="100"/>
        <c:noMultiLvlLbl val="0"/>
      </c:catAx>
      <c:valAx>
        <c:axId val="33868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5334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1C23-E24B-432A-9493-8EB8E589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Hector-Seminar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Piffer</cp:lastModifiedBy>
  <cp:revision>2</cp:revision>
  <cp:lastPrinted>2017-05-24T08:05:00Z</cp:lastPrinted>
  <dcterms:created xsi:type="dcterms:W3CDTF">2018-04-04T08:54:00Z</dcterms:created>
  <dcterms:modified xsi:type="dcterms:W3CDTF">2018-04-04T08:54:00Z</dcterms:modified>
</cp:coreProperties>
</file>