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1B769" w14:textId="77777777" w:rsidR="002D75A8" w:rsidRDefault="003E3F77" w:rsidP="003E3F77">
      <w:pPr>
        <w:pStyle w:val="Titel"/>
      </w:pPr>
      <w:r>
        <w:t>Grundzüge des Elektronengasmodells</w:t>
      </w:r>
    </w:p>
    <w:p w14:paraId="6D05EBE4" w14:textId="77777777" w:rsidR="003E3F77" w:rsidRDefault="003E3F77" w:rsidP="003E3F77"/>
    <w:p w14:paraId="1737853D" w14:textId="3C75B66A" w:rsidR="003E3F77" w:rsidRDefault="003E3F77" w:rsidP="003E3F77">
      <w:r>
        <w:t xml:space="preserve">Bei der hier vorliegenden Darstellung des Elektronengasmodells wird lediglich die Grundzüge des „didaktisch reduzierten“ Modells dargestellt. Eine genaue Fachwissenschaftliche Betrachtung findet man unter </w:t>
      </w:r>
      <w:sdt>
        <w:sdtPr>
          <w:id w:val="1352373269"/>
          <w:citation/>
        </w:sdtPr>
        <w:sdtContent>
          <w:r>
            <w:fldChar w:fldCharType="begin"/>
          </w:r>
          <w:r>
            <w:instrText xml:space="preserve"> CITATION Bur14 \l 1031 </w:instrText>
          </w:r>
          <w:r>
            <w:fldChar w:fldCharType="separate"/>
          </w:r>
          <w:r>
            <w:rPr>
              <w:noProof/>
            </w:rPr>
            <w:t>(1)</w:t>
          </w:r>
          <w:r>
            <w:fldChar w:fldCharType="end"/>
          </w:r>
        </w:sdtContent>
      </w:sdt>
      <w:r>
        <w:t xml:space="preserve">. </w:t>
      </w:r>
      <w:r w:rsidR="00C021AB">
        <w:t>Aus demselben Artikel stammt auch die Beschreibung des Modells:</w:t>
      </w:r>
    </w:p>
    <w:p w14:paraId="47FF2EEE" w14:textId="77777777" w:rsidR="003E3F77" w:rsidRDefault="003E3F77" w:rsidP="003E3F77"/>
    <w:p w14:paraId="5765B616" w14:textId="0023780D" w:rsidR="00C021AB" w:rsidRDefault="00C021AB" w:rsidP="003E3F77">
      <w:r>
        <w:t xml:space="preserve">In diesem Modell verwendete Ladungen: </w:t>
      </w:r>
      <w:r>
        <w:tab/>
        <w:t>Elektronen</w:t>
      </w:r>
    </w:p>
    <w:p w14:paraId="2FD1B7F5" w14:textId="77777777" w:rsidR="00C021AB" w:rsidRDefault="00C021AB" w:rsidP="003E3F77"/>
    <w:p w14:paraId="3FF0738A" w14:textId="69A16421" w:rsidR="00C021AB" w:rsidRDefault="00C021AB" w:rsidP="00C021AB">
      <w:pPr>
        <w:ind w:left="4240" w:hanging="4240"/>
      </w:pPr>
      <w:r>
        <w:t xml:space="preserve">Ursache des Stromflusses: </w:t>
      </w:r>
      <w:r>
        <w:tab/>
      </w:r>
      <w:r>
        <w:tab/>
        <w:t>Die an Widerständen auftretenden „Druckunterschiede“ des Elektronengases</w:t>
      </w:r>
    </w:p>
    <w:p w14:paraId="6F8B2512" w14:textId="77777777" w:rsidR="00C021AB" w:rsidRDefault="00C021AB" w:rsidP="00C021AB">
      <w:pPr>
        <w:ind w:left="4240" w:hanging="4240"/>
      </w:pPr>
    </w:p>
    <w:p w14:paraId="481A10A2" w14:textId="475C68EF" w:rsidR="00C021AB" w:rsidRDefault="00C021AB" w:rsidP="00C021AB">
      <w:pPr>
        <w:ind w:left="4240" w:hanging="4240"/>
      </w:pPr>
      <w:r>
        <w:t>Beschreibung des Elektronengases:</w:t>
      </w:r>
    </w:p>
    <w:p w14:paraId="2AFD02AD" w14:textId="3C377F8E" w:rsidR="00C021AB" w:rsidRDefault="00C021AB" w:rsidP="00C021AB">
      <w:pPr>
        <w:pStyle w:val="Listenabsatz"/>
        <w:numPr>
          <w:ilvl w:val="0"/>
          <w:numId w:val="1"/>
        </w:numPr>
      </w:pPr>
      <w:r>
        <w:t xml:space="preserve">In Metallen befinden sich frei bewegliche </w:t>
      </w:r>
      <w:r w:rsidR="00D02E1F">
        <w:t>Elektronen in Teilchenform</w:t>
      </w:r>
    </w:p>
    <w:p w14:paraId="69F2654E" w14:textId="77777777" w:rsidR="00D02E1F" w:rsidRDefault="00D02E1F" w:rsidP="00C021AB">
      <w:pPr>
        <w:pStyle w:val="Listenabsatz"/>
        <w:numPr>
          <w:ilvl w:val="0"/>
          <w:numId w:val="1"/>
        </w:numPr>
      </w:pPr>
      <w:r>
        <w:t>Durch ihre negative Ladung stoßen sie sich gegenseitig ab und verteilen sich so gleichmäßig im Leiter (wenn kein Generator angeschlossen ist!)</w:t>
      </w:r>
    </w:p>
    <w:p w14:paraId="235DF1A3" w14:textId="496134DE" w:rsidR="00D02E1F" w:rsidRDefault="00D02E1F" w:rsidP="00C021AB">
      <w:pPr>
        <w:pStyle w:val="Listenabsatz"/>
        <w:numPr>
          <w:ilvl w:val="0"/>
          <w:numId w:val="1"/>
        </w:numPr>
      </w:pPr>
      <w:r>
        <w:t>Widerstände schränken die Bewegung der Elektronen stark ein; es kommt zu einem „Rückstau“</w:t>
      </w:r>
    </w:p>
    <w:p w14:paraId="25A4BEC6" w14:textId="7F6C2E31" w:rsidR="00D02E1F" w:rsidRDefault="00D02E1F" w:rsidP="00C021AB">
      <w:pPr>
        <w:pStyle w:val="Listenabsatz"/>
        <w:numPr>
          <w:ilvl w:val="0"/>
          <w:numId w:val="1"/>
        </w:numPr>
      </w:pPr>
      <w:r>
        <w:t>Generatoren führen zu einer Ungleichverteilung:</w:t>
      </w:r>
    </w:p>
    <w:p w14:paraId="5F191290" w14:textId="77777777" w:rsidR="00D02E1F" w:rsidRDefault="00D02E1F" w:rsidP="00D02E1F">
      <w:pPr>
        <w:pStyle w:val="Listenabsatz"/>
        <w:numPr>
          <w:ilvl w:val="1"/>
          <w:numId w:val="1"/>
        </w:numPr>
      </w:pPr>
      <w:r>
        <w:t>Am Minuspol der Batterie herrscht ein Elektronenüberschuss; dies führt im Leiterabschnitt bis zum Energiewandler (Widerstand) zu einer erhöhten Elektronengasdichte und damit verbunden zu einem erhöhten Elektronengasdruck</w:t>
      </w:r>
    </w:p>
    <w:p w14:paraId="04AB7FD3" w14:textId="5FEA0410" w:rsidR="00D02E1F" w:rsidRPr="00D02E1F" w:rsidRDefault="00D02E1F" w:rsidP="00D02E1F">
      <w:pPr>
        <w:pStyle w:val="Listenabsatz"/>
        <w:numPr>
          <w:ilvl w:val="1"/>
          <w:numId w:val="1"/>
        </w:numPr>
      </w:pPr>
      <w:r>
        <w:t>Der positiv geladene Pluspol der Batterie „</w:t>
      </w:r>
      <w:r w:rsidRPr="00D02E1F">
        <w:t>„saugt“ ähnlich einem Staubsauger die negativen Elektronen aus dem mit ihm verbundenen Leiterabschnitt, weshalb es hier zu einer verringerten Elektronendichte und damit einem</w:t>
      </w:r>
      <w:r>
        <w:t xml:space="preserve"> geringeren Elektronendruck kommt“ </w:t>
      </w:r>
      <w:sdt>
        <w:sdtPr>
          <w:id w:val="-819723568"/>
          <w:citation/>
        </w:sdtPr>
        <w:sdtContent>
          <w:r>
            <w:fldChar w:fldCharType="begin"/>
          </w:r>
          <w:r>
            <w:instrText xml:space="preserve"> CITATION Bur14 \l 1031 </w:instrText>
          </w:r>
          <w:r>
            <w:fldChar w:fldCharType="separate"/>
          </w:r>
          <w:r>
            <w:rPr>
              <w:noProof/>
            </w:rPr>
            <w:t>(1)</w:t>
          </w:r>
          <w:r>
            <w:fldChar w:fldCharType="end"/>
          </w:r>
        </w:sdtContent>
      </w:sdt>
      <w:r w:rsidRPr="00D02E1F">
        <w:rPr>
          <w:rFonts w:ascii="Times New Roman" w:hAnsi="Times New Roman" w:cs="Times New Roman"/>
          <w:color w:val="000000"/>
          <w:sz w:val="26"/>
          <w:szCs w:val="26"/>
        </w:rPr>
        <w:t xml:space="preserve"> </w:t>
      </w:r>
    </w:p>
    <w:p w14:paraId="4A8AF1C5" w14:textId="68285C99" w:rsidR="00D02E1F" w:rsidRDefault="00D02E1F" w:rsidP="00D02E1F">
      <w:pPr>
        <w:pStyle w:val="Listenabsatz"/>
        <w:numPr>
          <w:ilvl w:val="0"/>
          <w:numId w:val="1"/>
        </w:numPr>
      </w:pPr>
      <w:r>
        <w:t>Der Elektronengasdruck-Unterschied ist dann die Ursache für die Bewegung der Elektronen</w:t>
      </w:r>
    </w:p>
    <w:p w14:paraId="4691F31C" w14:textId="20C157AA" w:rsidR="00D02E1F" w:rsidRDefault="00D02E1F" w:rsidP="00D02E1F">
      <w:pPr>
        <w:pStyle w:val="Listenabsatz"/>
        <w:numPr>
          <w:ilvl w:val="0"/>
          <w:numId w:val="1"/>
        </w:numPr>
      </w:pPr>
      <w:r>
        <w:t>Der Elektronengasdruck wird dem Potenzial gleichgesetzt; damit entspricht die Spannung einem Elektronengas</w:t>
      </w:r>
      <w:r w:rsidR="0082078D">
        <w:t>druck-</w:t>
      </w:r>
      <w:r>
        <w:t>unterschied</w:t>
      </w:r>
    </w:p>
    <w:p w14:paraId="15724CB1" w14:textId="67A98203" w:rsidR="00D02E1F" w:rsidRDefault="0082078D" w:rsidP="00D02E1F">
      <w:pPr>
        <w:pStyle w:val="Listenabsatz"/>
        <w:numPr>
          <w:ilvl w:val="0"/>
          <w:numId w:val="1"/>
        </w:numPr>
      </w:pPr>
      <w:r>
        <w:t>Je größer der Unterschied des Elektronengasdrucks ist, desto größer ist dann der Stromfluss (bei gleichbleibendem Widerstand)</w:t>
      </w:r>
    </w:p>
    <w:p w14:paraId="23699CCD" w14:textId="215591A0" w:rsidR="00EE155C" w:rsidRDefault="00EE155C" w:rsidP="00D02E1F">
      <w:pPr>
        <w:pStyle w:val="Listenabsatz"/>
        <w:numPr>
          <w:ilvl w:val="0"/>
          <w:numId w:val="1"/>
        </w:numPr>
      </w:pPr>
      <w:r>
        <w:t>Bei der Einführung ist es wichtig, den Systemcharakter elektronischer Schaltungen zu betonen, nur so kann eine Konstanz des Stromflusses bei einem einfachen Stromkreis erklärt werden</w:t>
      </w:r>
    </w:p>
    <w:p w14:paraId="4BBE6CF7" w14:textId="4B7F16F4" w:rsidR="00F5245A" w:rsidRDefault="00F5245A" w:rsidP="00D02E1F">
      <w:pPr>
        <w:pStyle w:val="Listenabsatz"/>
        <w:numPr>
          <w:ilvl w:val="0"/>
          <w:numId w:val="1"/>
        </w:numPr>
      </w:pPr>
      <w:r>
        <w:t xml:space="preserve">Nach </w:t>
      </w:r>
      <w:sdt>
        <w:sdtPr>
          <w:id w:val="-504353970"/>
          <w:citation/>
        </w:sdtPr>
        <w:sdtContent>
          <w:r>
            <w:fldChar w:fldCharType="begin"/>
          </w:r>
          <w:r>
            <w:instrText xml:space="preserve"> CITATION Bur14 \l 1031 </w:instrText>
          </w:r>
          <w:r>
            <w:fldChar w:fldCharType="separate"/>
          </w:r>
          <w:r>
            <w:rPr>
              <w:noProof/>
            </w:rPr>
            <w:t>(1)</w:t>
          </w:r>
          <w:r>
            <w:fldChar w:fldCharType="end"/>
          </w:r>
        </w:sdtContent>
      </w:sdt>
      <w:r>
        <w:t xml:space="preserve"> gilt:</w:t>
      </w:r>
    </w:p>
    <w:p w14:paraId="6CEDA86C" w14:textId="765E1FD3" w:rsidR="0067182F" w:rsidRPr="0067182F" w:rsidRDefault="00F5245A" w:rsidP="0067182F">
      <w:pPr>
        <w:ind w:left="708"/>
        <w:rPr>
          <w:rFonts w:ascii="Times" w:hAnsi="Times" w:cs="Times"/>
          <w:sz w:val="24"/>
        </w:rPr>
      </w:pPr>
      <w:r>
        <w:t>„</w:t>
      </w:r>
      <w:r w:rsidRPr="00F5245A">
        <w:t>Wenn auch kein spezielles physikalisches Vorwissen für das Elektronengasmodell benötigt wird, sind Vorkenntnisse im Bereich Wärmelehre (Modell des idealen Gases) und Elektrostatik (Kräfte auf geladene Körper) sicherlich hilfreich.</w:t>
      </w:r>
      <w:r>
        <w:t>“</w:t>
      </w:r>
    </w:p>
    <w:p w14:paraId="4D341628" w14:textId="54E8B353" w:rsidR="0082078D" w:rsidRDefault="0082078D" w:rsidP="0082078D">
      <w:r>
        <w:t xml:space="preserve">Visualisierungsmöglichkeiten </w:t>
      </w:r>
      <w:sdt>
        <w:sdtPr>
          <w:id w:val="981811466"/>
          <w:citation/>
        </w:sdtPr>
        <w:sdtContent>
          <w:r>
            <w:fldChar w:fldCharType="begin"/>
          </w:r>
          <w:r>
            <w:instrText xml:space="preserve"> CITATION Bur141 \l 1031 </w:instrText>
          </w:r>
          <w:r>
            <w:fldChar w:fldCharType="separate"/>
          </w:r>
          <w:r>
            <w:rPr>
              <w:noProof/>
            </w:rPr>
            <w:t>(2)</w:t>
          </w:r>
          <w:r>
            <w:fldChar w:fldCharType="end"/>
          </w:r>
        </w:sdtContent>
      </w:sdt>
      <w:r>
        <w:br/>
        <w:t>Hier sind nur die nach der im Abstract aufgeführten Visualisierungen dargestellt, die von den befragten Schülern als hilfreich bezeichnet wurden:</w:t>
      </w:r>
    </w:p>
    <w:p w14:paraId="3223C2B9" w14:textId="77777777" w:rsidR="0082078D" w:rsidRDefault="0082078D" w:rsidP="0082078D"/>
    <w:tbl>
      <w:tblPr>
        <w:tblStyle w:val="Tabellenraster"/>
        <w:tblW w:w="0" w:type="auto"/>
        <w:jc w:val="center"/>
        <w:tblLook w:val="04A0" w:firstRow="1" w:lastRow="0" w:firstColumn="1" w:lastColumn="0" w:noHBand="0" w:noVBand="1"/>
      </w:tblPr>
      <w:tblGrid>
        <w:gridCol w:w="4528"/>
        <w:gridCol w:w="4528"/>
      </w:tblGrid>
      <w:tr w:rsidR="0082078D" w14:paraId="1DD8B4DB" w14:textId="77777777" w:rsidTr="0082078D">
        <w:trPr>
          <w:jc w:val="center"/>
        </w:trPr>
        <w:tc>
          <w:tcPr>
            <w:tcW w:w="4528" w:type="dxa"/>
            <w:vAlign w:val="center"/>
          </w:tcPr>
          <w:p w14:paraId="7BFC5A14" w14:textId="638B4CD0" w:rsidR="0082078D" w:rsidRDefault="0082078D" w:rsidP="0082078D">
            <w:pPr>
              <w:jc w:val="center"/>
            </w:pPr>
            <w:r>
              <w:t>Punktdichtedarstellung</w:t>
            </w:r>
          </w:p>
        </w:tc>
        <w:tc>
          <w:tcPr>
            <w:tcW w:w="4528" w:type="dxa"/>
            <w:vAlign w:val="center"/>
          </w:tcPr>
          <w:p w14:paraId="1B18B4B1" w14:textId="720EA97E" w:rsidR="0082078D" w:rsidRDefault="0082078D" w:rsidP="0082078D">
            <w:pPr>
              <w:jc w:val="center"/>
            </w:pPr>
            <w:r>
              <w:t>Farbdarstellung</w:t>
            </w:r>
          </w:p>
        </w:tc>
      </w:tr>
      <w:tr w:rsidR="0082078D" w14:paraId="7D8146EF" w14:textId="77777777" w:rsidTr="0082078D">
        <w:trPr>
          <w:jc w:val="center"/>
        </w:trPr>
        <w:tc>
          <w:tcPr>
            <w:tcW w:w="4528" w:type="dxa"/>
            <w:vAlign w:val="center"/>
          </w:tcPr>
          <w:p w14:paraId="1D9F0523" w14:textId="6FDC0721" w:rsidR="0082078D" w:rsidRDefault="0067182F" w:rsidP="0082078D">
            <w:pPr>
              <w:jc w:val="center"/>
            </w:pPr>
            <w:r>
              <w:rPr>
                <w:noProof/>
              </w:rPr>
              <w:drawing>
                <wp:inline distT="0" distB="0" distL="0" distR="0" wp14:anchorId="670A63B7" wp14:editId="79FC51E6">
                  <wp:extent cx="1800000" cy="1675418"/>
                  <wp:effectExtent l="0" t="0" r="3810" b="127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nktidchteverteilung.JPG"/>
                          <pic:cNvPicPr/>
                        </pic:nvPicPr>
                        <pic:blipFill>
                          <a:blip r:embed="rId6">
                            <a:extLst>
                              <a:ext uri="{28A0092B-C50C-407E-A947-70E740481C1C}">
                                <a14:useLocalDpi xmlns:a14="http://schemas.microsoft.com/office/drawing/2010/main" val="0"/>
                              </a:ext>
                            </a:extLst>
                          </a:blip>
                          <a:stretch>
                            <a:fillRect/>
                          </a:stretch>
                        </pic:blipFill>
                        <pic:spPr>
                          <a:xfrm>
                            <a:off x="0" y="0"/>
                            <a:ext cx="1800000" cy="1675418"/>
                          </a:xfrm>
                          <a:prstGeom prst="rect">
                            <a:avLst/>
                          </a:prstGeom>
                        </pic:spPr>
                      </pic:pic>
                    </a:graphicData>
                  </a:graphic>
                </wp:inline>
              </w:drawing>
            </w:r>
          </w:p>
        </w:tc>
        <w:tc>
          <w:tcPr>
            <w:tcW w:w="4528" w:type="dxa"/>
            <w:vAlign w:val="center"/>
          </w:tcPr>
          <w:p w14:paraId="7894BF71" w14:textId="0487BD66" w:rsidR="0082078D" w:rsidRDefault="0067182F" w:rsidP="0082078D">
            <w:pPr>
              <w:jc w:val="center"/>
            </w:pPr>
            <w:r>
              <w:rPr>
                <w:noProof/>
              </w:rPr>
              <w:drawing>
                <wp:inline distT="0" distB="0" distL="0" distR="0" wp14:anchorId="6679B770" wp14:editId="473928A3">
                  <wp:extent cx="1800000" cy="1675418"/>
                  <wp:effectExtent l="0" t="0" r="3810" b="127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rbdarstellung.JPG"/>
                          <pic:cNvPicPr/>
                        </pic:nvPicPr>
                        <pic:blipFill>
                          <a:blip r:embed="rId7">
                            <a:extLst>
                              <a:ext uri="{28A0092B-C50C-407E-A947-70E740481C1C}">
                                <a14:useLocalDpi xmlns:a14="http://schemas.microsoft.com/office/drawing/2010/main" val="0"/>
                              </a:ext>
                            </a:extLst>
                          </a:blip>
                          <a:stretch>
                            <a:fillRect/>
                          </a:stretch>
                        </pic:blipFill>
                        <pic:spPr>
                          <a:xfrm>
                            <a:off x="0" y="0"/>
                            <a:ext cx="1800000" cy="1675418"/>
                          </a:xfrm>
                          <a:prstGeom prst="rect">
                            <a:avLst/>
                          </a:prstGeom>
                        </pic:spPr>
                      </pic:pic>
                    </a:graphicData>
                  </a:graphic>
                </wp:inline>
              </w:drawing>
            </w:r>
          </w:p>
        </w:tc>
      </w:tr>
      <w:tr w:rsidR="0082078D" w14:paraId="202DDFAA" w14:textId="77777777" w:rsidTr="0082078D">
        <w:trPr>
          <w:jc w:val="center"/>
        </w:trPr>
        <w:tc>
          <w:tcPr>
            <w:tcW w:w="4528" w:type="dxa"/>
            <w:vAlign w:val="center"/>
          </w:tcPr>
          <w:p w14:paraId="3EAB7041" w14:textId="1AEA3ABA" w:rsidR="0082078D" w:rsidRDefault="0082078D" w:rsidP="0082078D">
            <w:r>
              <w:t>Die Elektronen werden durch Punkte visualisiert</w:t>
            </w:r>
          </w:p>
        </w:tc>
        <w:tc>
          <w:tcPr>
            <w:tcW w:w="4528" w:type="dxa"/>
            <w:vAlign w:val="center"/>
          </w:tcPr>
          <w:p w14:paraId="26DBAD5D" w14:textId="77777777" w:rsidR="0082078D" w:rsidRDefault="0082078D" w:rsidP="0082078D">
            <w:r>
              <w:t>Das Potenzial (also der Elektronengasdruck) ist umso höher, je intensiver eine Leitung rot gefärbt;</w:t>
            </w:r>
          </w:p>
          <w:p w14:paraId="51FE346B" w14:textId="38639B58" w:rsidR="0082078D" w:rsidRDefault="0082078D" w:rsidP="0082078D">
            <w:r>
              <w:t>Je geringer der Elektronengasdruck ist, desto intensiver grün ist die Leitung gefärbt</w:t>
            </w:r>
          </w:p>
        </w:tc>
      </w:tr>
    </w:tbl>
    <w:p w14:paraId="01F63FAE" w14:textId="5496A0AD" w:rsidR="0082078D" w:rsidRDefault="0082078D" w:rsidP="0082078D"/>
    <w:p w14:paraId="5CC7F870" w14:textId="7AA38B01" w:rsidR="00E32A2E" w:rsidRDefault="00E32A2E" w:rsidP="0082078D">
      <w:r>
        <w:t xml:space="preserve">Auch eine Verknüpfung der beiden Darstellungen ist denkbar </w:t>
      </w:r>
      <w:sdt>
        <w:sdtPr>
          <w:id w:val="1509786712"/>
          <w:citation/>
        </w:sdtPr>
        <w:sdtContent>
          <w:r>
            <w:fldChar w:fldCharType="begin"/>
          </w:r>
          <w:r>
            <w:instrText xml:space="preserve"> CITATION Bur14 \l 1031 </w:instrText>
          </w:r>
          <w:r>
            <w:fldChar w:fldCharType="separate"/>
          </w:r>
          <w:r>
            <w:rPr>
              <w:noProof/>
            </w:rPr>
            <w:t>(1)</w:t>
          </w:r>
          <w:r>
            <w:fldChar w:fldCharType="end"/>
          </w:r>
        </w:sdtContent>
      </w:sdt>
      <w:r>
        <w:t>:</w:t>
      </w:r>
    </w:p>
    <w:p w14:paraId="34EBC697" w14:textId="4A74E4B5" w:rsidR="00E32A2E" w:rsidRDefault="00E32A2E" w:rsidP="00E32A2E">
      <w:pPr>
        <w:ind w:left="567" w:right="702"/>
      </w:pPr>
      <w:r>
        <w:t>„</w:t>
      </w:r>
      <w:r>
        <w:t>Beispielsweise könnte der Druck bzw. das Potenzial statt über Punktedichten auc</w:t>
      </w:r>
      <w:r>
        <w:t>h über Farb- bzw. Grauabstufun</w:t>
      </w:r>
      <w:r>
        <w:t>gen dargestellt werden, während der elektrische Strom über Punkte mit gleichmäßiger Dichte und konstanter Driftgeschwindigkeit visualisiert werden könnte. Eine solche Darstellung hätte den Vorzug, dass das Spannungs- und Stromkonzept a</w:t>
      </w:r>
      <w:r>
        <w:t>uch visuell klar getrennt wären“</w:t>
      </w:r>
    </w:p>
    <w:p w14:paraId="4231BDA2" w14:textId="003C5360" w:rsidR="00E32A2E" w:rsidRDefault="005F285E" w:rsidP="00F5245A">
      <w:pPr>
        <w:widowControl w:val="0"/>
        <w:autoSpaceDE w:val="0"/>
        <w:autoSpaceDN w:val="0"/>
        <w:adjustRightInd w:val="0"/>
        <w:spacing w:after="240" w:line="320" w:lineRule="atLeast"/>
      </w:pPr>
      <w:r>
        <w:t>Es bietet sich an, um die Verbrauchsvorstellung der Elektronen nicht zu fördern, die Farbdarstellung zu verwenden bzw. die angesprochene Verknüpfung zu verwenden.</w:t>
      </w:r>
      <w:r w:rsidR="00A55350">
        <w:t xml:space="preserve"> Außerdem bietet es sich an, dynamische Simulationen zu verwenden um zu zeigen, </w:t>
      </w:r>
      <w:r w:rsidR="00A55350" w:rsidRPr="00A55350">
        <w:t>„</w:t>
      </w:r>
      <w:r w:rsidR="00A55350">
        <w:t>dass die Strömungs</w:t>
      </w:r>
      <w:r w:rsidR="00A55350" w:rsidRPr="00A55350">
        <w:t>geschwindigkeit in dem Maße zunimmt, wie die Dichte abnimmt, u</w:t>
      </w:r>
      <w:r w:rsidR="00A55350">
        <w:t>nd die Stromstärke daher im ge</w:t>
      </w:r>
      <w:r w:rsidR="00A55350" w:rsidRPr="00A55350">
        <w:t xml:space="preserve">samten Stromkreis konstant sein muss.“ </w:t>
      </w:r>
      <w:sdt>
        <w:sdtPr>
          <w:id w:val="-48843193"/>
          <w:citation/>
        </w:sdtPr>
        <w:sdtContent>
          <w:r w:rsidR="00A55350">
            <w:fldChar w:fldCharType="begin"/>
          </w:r>
          <w:r w:rsidR="00A55350">
            <w:instrText xml:space="preserve"> CITATION Bur14 \l 1031 </w:instrText>
          </w:r>
          <w:r w:rsidR="00A55350">
            <w:fldChar w:fldCharType="separate"/>
          </w:r>
          <w:r w:rsidR="00A55350">
            <w:rPr>
              <w:noProof/>
            </w:rPr>
            <w:t>(1)</w:t>
          </w:r>
          <w:r w:rsidR="00A55350">
            <w:fldChar w:fldCharType="end"/>
          </w:r>
        </w:sdtContent>
      </w:sdt>
    </w:p>
    <w:p w14:paraId="3301435B" w14:textId="2616C883" w:rsidR="00F5245A" w:rsidRDefault="00F5245A" w:rsidP="00CA5DF4">
      <w:pPr>
        <w:ind w:right="702"/>
      </w:pPr>
      <w:r>
        <w:t>Reihen- und Parallelschaltung in der Farbdarstellung:</w:t>
      </w:r>
    </w:p>
    <w:p w14:paraId="55C29D3B" w14:textId="77777777" w:rsidR="00F5245A" w:rsidRDefault="00F5245A" w:rsidP="00CA5DF4">
      <w:pPr>
        <w:ind w:right="702"/>
      </w:pPr>
    </w:p>
    <w:tbl>
      <w:tblPr>
        <w:tblStyle w:val="Tabellenraster"/>
        <w:tblW w:w="0" w:type="auto"/>
        <w:tblLook w:val="04A0" w:firstRow="1" w:lastRow="0" w:firstColumn="1" w:lastColumn="0" w:noHBand="0" w:noVBand="1"/>
      </w:tblPr>
      <w:tblGrid>
        <w:gridCol w:w="4457"/>
        <w:gridCol w:w="4599"/>
      </w:tblGrid>
      <w:tr w:rsidR="00F5245A" w14:paraId="4328B66E" w14:textId="77777777" w:rsidTr="00F5245A">
        <w:tc>
          <w:tcPr>
            <w:tcW w:w="4528" w:type="dxa"/>
            <w:vAlign w:val="center"/>
          </w:tcPr>
          <w:p w14:paraId="44F463F5" w14:textId="4DBE82EB" w:rsidR="00F5245A" w:rsidRDefault="00F5245A" w:rsidP="00F5245A">
            <w:pPr>
              <w:ind w:right="702"/>
              <w:jc w:val="center"/>
            </w:pPr>
            <w:r>
              <w:t>Reihenschaltung</w:t>
            </w:r>
          </w:p>
        </w:tc>
        <w:tc>
          <w:tcPr>
            <w:tcW w:w="4528" w:type="dxa"/>
            <w:vAlign w:val="center"/>
          </w:tcPr>
          <w:p w14:paraId="6EAB7808" w14:textId="20B1431F" w:rsidR="00F5245A" w:rsidRDefault="00F5245A" w:rsidP="00F5245A">
            <w:pPr>
              <w:ind w:right="702"/>
              <w:jc w:val="center"/>
            </w:pPr>
            <w:r>
              <w:t>Parallelschaltung</w:t>
            </w:r>
          </w:p>
        </w:tc>
      </w:tr>
      <w:tr w:rsidR="00F5245A" w14:paraId="1CBB0514" w14:textId="77777777" w:rsidTr="00C22D10">
        <w:trPr>
          <w:trHeight w:val="2835"/>
        </w:trPr>
        <w:tc>
          <w:tcPr>
            <w:tcW w:w="4528" w:type="dxa"/>
            <w:vAlign w:val="center"/>
          </w:tcPr>
          <w:p w14:paraId="0BEB669E" w14:textId="220B1033" w:rsidR="00C22D10" w:rsidRDefault="00C22D10" w:rsidP="00C22D10">
            <w:pPr>
              <w:ind w:right="702"/>
              <w:jc w:val="center"/>
            </w:pPr>
            <w:r>
              <w:rPr>
                <w:noProof/>
              </w:rPr>
              <w:drawing>
                <wp:inline distT="0" distB="0" distL="0" distR="0" wp14:anchorId="62FE6A00" wp14:editId="2E990E4E">
                  <wp:extent cx="1800000" cy="1675418"/>
                  <wp:effectExtent l="0" t="0" r="3810" b="127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ihenschaltung.JPG"/>
                          <pic:cNvPicPr/>
                        </pic:nvPicPr>
                        <pic:blipFill>
                          <a:blip r:embed="rId8">
                            <a:extLst>
                              <a:ext uri="{28A0092B-C50C-407E-A947-70E740481C1C}">
                                <a14:useLocalDpi xmlns:a14="http://schemas.microsoft.com/office/drawing/2010/main" val="0"/>
                              </a:ext>
                            </a:extLst>
                          </a:blip>
                          <a:stretch>
                            <a:fillRect/>
                          </a:stretch>
                        </pic:blipFill>
                        <pic:spPr>
                          <a:xfrm>
                            <a:off x="0" y="0"/>
                            <a:ext cx="1800000" cy="1675418"/>
                          </a:xfrm>
                          <a:prstGeom prst="rect">
                            <a:avLst/>
                          </a:prstGeom>
                        </pic:spPr>
                      </pic:pic>
                    </a:graphicData>
                  </a:graphic>
                </wp:inline>
              </w:drawing>
            </w:r>
          </w:p>
        </w:tc>
        <w:tc>
          <w:tcPr>
            <w:tcW w:w="4528" w:type="dxa"/>
            <w:vAlign w:val="center"/>
          </w:tcPr>
          <w:p w14:paraId="60CC67E7" w14:textId="1CC8495F" w:rsidR="00F5245A" w:rsidRDefault="00C22D10" w:rsidP="00F5245A">
            <w:pPr>
              <w:ind w:right="702"/>
              <w:jc w:val="center"/>
            </w:pPr>
            <w:r>
              <w:rPr>
                <w:noProof/>
              </w:rPr>
              <w:drawing>
                <wp:inline distT="0" distB="0" distL="0" distR="0" wp14:anchorId="4AB376A3" wp14:editId="1B79930D">
                  <wp:extent cx="2330899" cy="1674000"/>
                  <wp:effectExtent l="0" t="0" r="6350" b="254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allelschaltung.JPG"/>
                          <pic:cNvPicPr/>
                        </pic:nvPicPr>
                        <pic:blipFill>
                          <a:blip r:embed="rId9">
                            <a:extLst>
                              <a:ext uri="{28A0092B-C50C-407E-A947-70E740481C1C}">
                                <a14:useLocalDpi xmlns:a14="http://schemas.microsoft.com/office/drawing/2010/main" val="0"/>
                              </a:ext>
                            </a:extLst>
                          </a:blip>
                          <a:stretch>
                            <a:fillRect/>
                          </a:stretch>
                        </pic:blipFill>
                        <pic:spPr>
                          <a:xfrm>
                            <a:off x="0" y="0"/>
                            <a:ext cx="2330899" cy="1674000"/>
                          </a:xfrm>
                          <a:prstGeom prst="rect">
                            <a:avLst/>
                          </a:prstGeom>
                        </pic:spPr>
                      </pic:pic>
                    </a:graphicData>
                  </a:graphic>
                </wp:inline>
              </w:drawing>
            </w:r>
          </w:p>
        </w:tc>
      </w:tr>
    </w:tbl>
    <w:p w14:paraId="53170887" w14:textId="77777777" w:rsidR="00F5245A" w:rsidRDefault="00F5245A" w:rsidP="00CA5DF4">
      <w:pPr>
        <w:ind w:right="702"/>
      </w:pPr>
    </w:p>
    <w:p w14:paraId="2D39F126" w14:textId="60C3EF73" w:rsidR="00E32A2E" w:rsidRDefault="00E32A2E" w:rsidP="00CA5DF4">
      <w:pPr>
        <w:ind w:right="702"/>
      </w:pPr>
      <w:r>
        <w:t>Didaktische Überlegungen:</w:t>
      </w:r>
    </w:p>
    <w:p w14:paraId="57C608AF" w14:textId="184A4820" w:rsidR="00CA5DF4" w:rsidRDefault="00CA5DF4" w:rsidP="00CA5DF4">
      <w:pPr>
        <w:pStyle w:val="Listenabsatz"/>
        <w:numPr>
          <w:ilvl w:val="0"/>
          <w:numId w:val="1"/>
        </w:numPr>
        <w:ind w:right="702"/>
      </w:pPr>
      <w:r>
        <w:t>Da es sich bei den Ladungen um Elektronen handelt, sollt von Beginn an die physikalische Stromrichtung behandelt werden</w:t>
      </w:r>
    </w:p>
    <w:p w14:paraId="0B153CA7" w14:textId="4FBBA546" w:rsidR="00CA5DF4" w:rsidRDefault="00CA5DF4" w:rsidP="00CA5DF4">
      <w:pPr>
        <w:pStyle w:val="Listenabsatz"/>
        <w:numPr>
          <w:ilvl w:val="0"/>
          <w:numId w:val="1"/>
        </w:numPr>
        <w:ind w:right="702"/>
      </w:pPr>
      <w:r>
        <w:t xml:space="preserve">Man sollte die Begriffe positive und negative Potenziale vermeiden, stattdessen sollte man von großen Potenzialen sprechen, wenn hohe Elektronengasdrücke gemeint sind und von geringen Potenzialen, wenn niedrige </w:t>
      </w:r>
      <w:r w:rsidR="00B6312A">
        <w:t>Elektronengasdrücke gemeint sind</w:t>
      </w:r>
    </w:p>
    <w:p w14:paraId="73A0496B" w14:textId="77777777" w:rsidR="00B6312A" w:rsidRDefault="00B6312A" w:rsidP="00CA5DF4">
      <w:pPr>
        <w:pStyle w:val="Listenabsatz"/>
        <w:numPr>
          <w:ilvl w:val="0"/>
          <w:numId w:val="1"/>
        </w:numPr>
        <w:ind w:right="702"/>
      </w:pPr>
      <w:r>
        <w:t>Trotz der Fokussierung auf die sich bewegenden Elektronen sollten die positiven Atomrümpfe an einer angesprochen werden (z.B. wenn eine mikroskopische Erklärung für die geringe Leitfähigkeit (sowie die Temperaturabhängigkeit, ...) gegeben werden soll)</w:t>
      </w:r>
    </w:p>
    <w:p w14:paraId="4B68B641" w14:textId="7E589AD1" w:rsidR="00F5245A" w:rsidRDefault="00F5245A" w:rsidP="00F5245A">
      <w:pPr>
        <w:ind w:right="702"/>
      </w:pPr>
    </w:p>
    <w:p w14:paraId="4B205EB5" w14:textId="38ED4986" w:rsidR="00F5245A" w:rsidRDefault="00F5245A" w:rsidP="00F5245A">
      <w:pPr>
        <w:ind w:right="702"/>
      </w:pPr>
      <w:r>
        <w:t>Offene Fragen:</w:t>
      </w:r>
    </w:p>
    <w:p w14:paraId="3F5EF517" w14:textId="2E08CF26" w:rsidR="00F5245A" w:rsidRDefault="00F5245A" w:rsidP="00F5245A">
      <w:pPr>
        <w:pStyle w:val="Listenabsatz"/>
        <w:numPr>
          <w:ilvl w:val="0"/>
          <w:numId w:val="1"/>
        </w:numPr>
        <w:ind w:right="702"/>
      </w:pPr>
      <w:r>
        <w:t>Wie erklärt man hier einen Kurzschluss</w:t>
      </w:r>
    </w:p>
    <w:p w14:paraId="21E6CB0F" w14:textId="5CA9B32C" w:rsidR="00F5245A" w:rsidRDefault="00F5245A" w:rsidP="00F5245A">
      <w:pPr>
        <w:pStyle w:val="Listenabsatz"/>
        <w:numPr>
          <w:ilvl w:val="0"/>
          <w:numId w:val="1"/>
        </w:numPr>
        <w:ind w:right="702"/>
      </w:pPr>
      <w:r>
        <w:t xml:space="preserve">Anschlussfähigkeit in der Oberstufe </w:t>
      </w:r>
      <w:r>
        <w:sym w:font="Wingdings" w:char="F0E0"/>
      </w:r>
      <w:r>
        <w:t xml:space="preserve"> elektrischer Feldbegriff und die damit verbundene Bewegung der Elektronen (umgekehrte Richtung)</w:t>
      </w:r>
    </w:p>
    <w:p w14:paraId="1117E49A" w14:textId="666CF522" w:rsidR="00F5245A" w:rsidRPr="00CA5DF4" w:rsidRDefault="00F5245A" w:rsidP="00F5245A">
      <w:pPr>
        <w:pStyle w:val="Listenabsatz"/>
        <w:numPr>
          <w:ilvl w:val="0"/>
          <w:numId w:val="1"/>
        </w:numPr>
        <w:ind w:right="702"/>
      </w:pPr>
      <w:r>
        <w:t>...</w:t>
      </w:r>
    </w:p>
    <w:p w14:paraId="22178059" w14:textId="77777777" w:rsidR="00E32A2E" w:rsidRDefault="00E32A2E" w:rsidP="0082078D"/>
    <w:p w14:paraId="776043B4" w14:textId="77777777" w:rsidR="00EC3460" w:rsidRDefault="00EC3460" w:rsidP="0082078D"/>
    <w:p w14:paraId="431256BD" w14:textId="77777777" w:rsidR="00EC3460" w:rsidRDefault="00EC3460" w:rsidP="0082078D"/>
    <w:p w14:paraId="31965E5D" w14:textId="77777777" w:rsidR="00EC3460" w:rsidRDefault="00EC3460" w:rsidP="0082078D"/>
    <w:p w14:paraId="70AED71F" w14:textId="77777777" w:rsidR="00EC3460" w:rsidRDefault="00EC3460" w:rsidP="0082078D"/>
    <w:sdt>
      <w:sdtPr>
        <w:id w:val="-1879311634"/>
        <w:docPartObj>
          <w:docPartGallery w:val="Bibliographies"/>
          <w:docPartUnique/>
        </w:docPartObj>
      </w:sdtPr>
      <w:sdtEndPr>
        <w:rPr>
          <w:rFonts w:asciiTheme="minorHAnsi" w:eastAsiaTheme="minorEastAsia" w:hAnsiTheme="minorHAnsi" w:cstheme="minorBidi"/>
          <w:color w:val="auto"/>
          <w:sz w:val="22"/>
          <w:szCs w:val="24"/>
        </w:rPr>
      </w:sdtEndPr>
      <w:sdtContent>
        <w:p w14:paraId="7C219937" w14:textId="3E25B785" w:rsidR="00EC3460" w:rsidRDefault="00EC3460">
          <w:pPr>
            <w:pStyle w:val="berschrift1"/>
          </w:pPr>
          <w:r>
            <w:t>Literaturverzeichnis</w:t>
          </w:r>
        </w:p>
        <w:sdt>
          <w:sdtPr>
            <w:id w:val="111145805"/>
            <w:bibliography/>
          </w:sdtPr>
          <w:sdtContent>
            <w:p w14:paraId="6A3B3929" w14:textId="77777777" w:rsidR="00EC3460" w:rsidRDefault="00EC3460" w:rsidP="00EC3460">
              <w:pPr>
                <w:pStyle w:val="Literaturverzeichnis"/>
                <w:rPr>
                  <w:noProof/>
                  <w:sz w:val="24"/>
                </w:rPr>
              </w:pPr>
              <w:r>
                <w:fldChar w:fldCharType="begin"/>
              </w:r>
              <w:r>
                <w:instrText>BIBLIOGRAPHY</w:instrText>
              </w:r>
              <w:r>
                <w:fldChar w:fldCharType="separate"/>
              </w:r>
              <w:r>
                <w:rPr>
                  <w:noProof/>
                </w:rPr>
                <w:t xml:space="preserve">1. </w:t>
              </w:r>
              <w:r>
                <w:rPr>
                  <w:b/>
                  <w:bCs/>
                  <w:noProof/>
                </w:rPr>
                <w:t>Burde, Jan-Philipp, Wilhelm, Thomas und Wiesner, Hartmut.</w:t>
              </w:r>
              <w:r>
                <w:rPr>
                  <w:noProof/>
                </w:rPr>
                <w:t xml:space="preserve"> </w:t>
              </w:r>
              <w:r>
                <w:rPr>
                  <w:i/>
                  <w:iCs/>
                  <w:noProof/>
                </w:rPr>
                <w:t xml:space="preserve">Das Elektronengasmodell in der Sekundarstufe 1. </w:t>
              </w:r>
              <w:r>
                <w:rPr>
                  <w:noProof/>
                </w:rPr>
                <w:t>Frankfurt, Hessen, Deutschland : s.n., 1. Februar 2014.</w:t>
              </w:r>
            </w:p>
            <w:p w14:paraId="7D0CC018" w14:textId="77777777" w:rsidR="00EC3460" w:rsidRDefault="00EC3460" w:rsidP="00EC3460">
              <w:pPr>
                <w:pStyle w:val="Literaturverzeichnis"/>
                <w:rPr>
                  <w:noProof/>
                </w:rPr>
              </w:pPr>
              <w:r>
                <w:rPr>
                  <w:noProof/>
                </w:rPr>
                <w:t xml:space="preserve">2. </w:t>
              </w:r>
              <w:r>
                <w:rPr>
                  <w:b/>
                  <w:bCs/>
                  <w:noProof/>
                </w:rPr>
                <w:t>Burde, Jan-Philipp, Wilhelm, Thomas und Wiesner, hartmut.</w:t>
              </w:r>
              <w:r>
                <w:rPr>
                  <w:noProof/>
                </w:rPr>
                <w:t xml:space="preserve"> </w:t>
              </w:r>
              <w:r>
                <w:rPr>
                  <w:i/>
                  <w:iCs/>
                  <w:noProof/>
                </w:rPr>
                <w:t xml:space="preserve">Das Elektronengasmodell und Möglichkeiten seiner Visualisierung. </w:t>
              </w:r>
              <w:r>
                <w:rPr>
                  <w:noProof/>
                </w:rPr>
                <w:t>[???] ???, ß : s.n., 2014. ???.</w:t>
              </w:r>
            </w:p>
            <w:p w14:paraId="7B274E46" w14:textId="1EF4D447" w:rsidR="00EC3460" w:rsidRPr="003E3F77" w:rsidRDefault="00EC3460" w:rsidP="0082078D">
              <w:r>
                <w:rPr>
                  <w:b/>
                  <w:bCs/>
                  <w:noProof/>
                </w:rPr>
                <w:fldChar w:fldCharType="end"/>
              </w:r>
            </w:p>
            <w:bookmarkStart w:id="0" w:name="_GoBack" w:displacedByCustomXml="next"/>
            <w:bookmarkEnd w:id="0" w:displacedByCustomXml="next"/>
          </w:sdtContent>
        </w:sdt>
      </w:sdtContent>
    </w:sdt>
    <w:sectPr w:rsidR="00EC3460" w:rsidRPr="003E3F77" w:rsidSect="0067182F">
      <w:pgSz w:w="11900" w:h="16840"/>
      <w:pgMar w:top="634" w:right="1417" w:bottom="49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8675B"/>
    <w:multiLevelType w:val="hybridMultilevel"/>
    <w:tmpl w:val="C3448C18"/>
    <w:lvl w:ilvl="0" w:tplc="ABA67BE6">
      <w:start w:val="3"/>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155374"/>
    <w:multiLevelType w:val="hybridMultilevel"/>
    <w:tmpl w:val="8E2E17D8"/>
    <w:lvl w:ilvl="0" w:tplc="ABA67BE6">
      <w:start w:val="3"/>
      <w:numFmt w:val="bullet"/>
      <w:lvlText w:val="-"/>
      <w:lvlJc w:val="left"/>
      <w:pPr>
        <w:ind w:left="720" w:hanging="360"/>
      </w:pPr>
      <w:rPr>
        <w:rFonts w:ascii="Calibri" w:eastAsiaTheme="minorEastAsia"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attachedTemplate r:id="rId1"/>
  <w:defaultTabStop w:val="708"/>
  <w:hyphenationZone w:val="425"/>
  <w:drawingGridHorizontalSpacing w:val="57"/>
  <w:drawingGridVerticalSpacing w:val="57"/>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F77"/>
    <w:rsid w:val="001C6DEB"/>
    <w:rsid w:val="003E3F77"/>
    <w:rsid w:val="003F4C64"/>
    <w:rsid w:val="005F285E"/>
    <w:rsid w:val="0067182F"/>
    <w:rsid w:val="00705C30"/>
    <w:rsid w:val="0082078D"/>
    <w:rsid w:val="00A55350"/>
    <w:rsid w:val="00B6312A"/>
    <w:rsid w:val="00BE38A0"/>
    <w:rsid w:val="00C021AB"/>
    <w:rsid w:val="00C22D10"/>
    <w:rsid w:val="00CA5DF4"/>
    <w:rsid w:val="00D02E1F"/>
    <w:rsid w:val="00E32A2E"/>
    <w:rsid w:val="00E747D9"/>
    <w:rsid w:val="00EC3460"/>
    <w:rsid w:val="00ED05CB"/>
    <w:rsid w:val="00EE155C"/>
    <w:rsid w:val="00F250EF"/>
    <w:rsid w:val="00F5245A"/>
    <w:rsid w:val="00FC239B"/>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C43C0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05C30"/>
    <w:rPr>
      <w:sz w:val="22"/>
    </w:rPr>
  </w:style>
  <w:style w:type="paragraph" w:styleId="berschrift1">
    <w:name w:val="heading 1"/>
    <w:basedOn w:val="Standard"/>
    <w:next w:val="Standard"/>
    <w:link w:val="berschrift1Zchn"/>
    <w:uiPriority w:val="9"/>
    <w:qFormat/>
    <w:rsid w:val="00705C30"/>
    <w:pPr>
      <w:keepNext/>
      <w:keepLines/>
      <w:spacing w:before="240"/>
      <w:outlineLvl w:val="0"/>
    </w:pPr>
    <w:rPr>
      <w:rFonts w:asciiTheme="majorHAnsi" w:eastAsiaTheme="majorEastAsia" w:hAnsiTheme="majorHAnsi" w:cstheme="majorBidi"/>
      <w:color w:val="000000" w:themeColor="text1"/>
      <w:sz w:val="28"/>
      <w:szCs w:val="32"/>
    </w:rPr>
  </w:style>
  <w:style w:type="paragraph" w:styleId="berschrift2">
    <w:name w:val="heading 2"/>
    <w:basedOn w:val="Standard"/>
    <w:next w:val="Standard"/>
    <w:link w:val="berschrift2Zchn"/>
    <w:uiPriority w:val="9"/>
    <w:semiHidden/>
    <w:unhideWhenUsed/>
    <w:qFormat/>
    <w:rsid w:val="00705C30"/>
    <w:pPr>
      <w:keepNext/>
      <w:keepLines/>
      <w:spacing w:before="40"/>
      <w:outlineLvl w:val="1"/>
    </w:pPr>
    <w:rPr>
      <w:rFonts w:asciiTheme="majorHAnsi" w:eastAsiaTheme="majorEastAsia" w:hAnsiTheme="majorHAnsi" w:cstheme="majorBidi"/>
      <w:color w:val="000000" w:themeColor="tex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05C30"/>
    <w:rPr>
      <w:rFonts w:asciiTheme="majorHAnsi" w:eastAsiaTheme="majorEastAsia" w:hAnsiTheme="majorHAnsi" w:cstheme="majorBidi"/>
      <w:color w:val="000000" w:themeColor="text1"/>
      <w:sz w:val="28"/>
      <w:szCs w:val="32"/>
    </w:rPr>
  </w:style>
  <w:style w:type="character" w:customStyle="1" w:styleId="berschrift2Zchn">
    <w:name w:val="Überschrift 2 Zchn"/>
    <w:basedOn w:val="Absatz-Standardschriftart"/>
    <w:link w:val="berschrift2"/>
    <w:uiPriority w:val="9"/>
    <w:semiHidden/>
    <w:rsid w:val="00705C30"/>
    <w:rPr>
      <w:rFonts w:asciiTheme="majorHAnsi" w:eastAsiaTheme="majorEastAsia" w:hAnsiTheme="majorHAnsi" w:cstheme="majorBidi"/>
      <w:color w:val="000000" w:themeColor="text1"/>
      <w:sz w:val="26"/>
      <w:szCs w:val="26"/>
    </w:rPr>
  </w:style>
  <w:style w:type="paragraph" w:styleId="Titel">
    <w:name w:val="Title"/>
    <w:basedOn w:val="Standard"/>
    <w:next w:val="Standard"/>
    <w:link w:val="TitelZchn"/>
    <w:uiPriority w:val="10"/>
    <w:qFormat/>
    <w:rsid w:val="00705C30"/>
    <w:pPr>
      <w:contextualSpacing/>
    </w:pPr>
    <w:rPr>
      <w:rFonts w:asciiTheme="majorHAnsi" w:eastAsiaTheme="majorEastAsia" w:hAnsiTheme="majorHAnsi" w:cstheme="majorBidi"/>
      <w:spacing w:val="-10"/>
      <w:kern w:val="28"/>
      <w:sz w:val="44"/>
      <w:szCs w:val="56"/>
    </w:rPr>
  </w:style>
  <w:style w:type="character" w:customStyle="1" w:styleId="TitelZchn">
    <w:name w:val="Titel Zchn"/>
    <w:basedOn w:val="Absatz-Standardschriftart"/>
    <w:link w:val="Titel"/>
    <w:uiPriority w:val="10"/>
    <w:rsid w:val="00705C30"/>
    <w:rPr>
      <w:rFonts w:asciiTheme="majorHAnsi" w:eastAsiaTheme="majorEastAsia" w:hAnsiTheme="majorHAnsi" w:cstheme="majorBidi"/>
      <w:spacing w:val="-10"/>
      <w:kern w:val="28"/>
      <w:sz w:val="44"/>
      <w:szCs w:val="56"/>
    </w:rPr>
  </w:style>
  <w:style w:type="paragraph" w:styleId="KeinLeerraum">
    <w:name w:val="No Spacing"/>
    <w:uiPriority w:val="1"/>
    <w:qFormat/>
    <w:rsid w:val="00705C30"/>
    <w:rPr>
      <w:sz w:val="22"/>
    </w:rPr>
  </w:style>
  <w:style w:type="paragraph" w:styleId="Listenabsatz">
    <w:name w:val="List Paragraph"/>
    <w:basedOn w:val="Standard"/>
    <w:uiPriority w:val="34"/>
    <w:qFormat/>
    <w:rsid w:val="00C021AB"/>
    <w:pPr>
      <w:ind w:left="720"/>
      <w:contextualSpacing/>
    </w:pPr>
  </w:style>
  <w:style w:type="table" w:styleId="Tabellenraster">
    <w:name w:val="Table Grid"/>
    <w:basedOn w:val="NormaleTabelle"/>
    <w:uiPriority w:val="39"/>
    <w:rsid w:val="00820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teraturverzeichnis">
    <w:name w:val="Bibliography"/>
    <w:basedOn w:val="Standard"/>
    <w:next w:val="Standard"/>
    <w:uiPriority w:val="37"/>
    <w:unhideWhenUsed/>
    <w:rsid w:val="00EC3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7089">
      <w:bodyDiv w:val="1"/>
      <w:marLeft w:val="0"/>
      <w:marRight w:val="0"/>
      <w:marTop w:val="0"/>
      <w:marBottom w:val="0"/>
      <w:divBdr>
        <w:top w:val="none" w:sz="0" w:space="0" w:color="auto"/>
        <w:left w:val="none" w:sz="0" w:space="0" w:color="auto"/>
        <w:bottom w:val="none" w:sz="0" w:space="0" w:color="auto"/>
        <w:right w:val="none" w:sz="0" w:space="0" w:color="auto"/>
      </w:divBdr>
    </w:div>
    <w:div w:id="281494730">
      <w:bodyDiv w:val="1"/>
      <w:marLeft w:val="0"/>
      <w:marRight w:val="0"/>
      <w:marTop w:val="0"/>
      <w:marBottom w:val="0"/>
      <w:divBdr>
        <w:top w:val="none" w:sz="0" w:space="0" w:color="auto"/>
        <w:left w:val="none" w:sz="0" w:space="0" w:color="auto"/>
        <w:bottom w:val="none" w:sz="0" w:space="0" w:color="auto"/>
        <w:right w:val="none" w:sz="0" w:space="0" w:color="auto"/>
      </w:divBdr>
    </w:div>
    <w:div w:id="503135242">
      <w:bodyDiv w:val="1"/>
      <w:marLeft w:val="0"/>
      <w:marRight w:val="0"/>
      <w:marTop w:val="0"/>
      <w:marBottom w:val="0"/>
      <w:divBdr>
        <w:top w:val="none" w:sz="0" w:space="0" w:color="auto"/>
        <w:left w:val="none" w:sz="0" w:space="0" w:color="auto"/>
        <w:bottom w:val="none" w:sz="0" w:space="0" w:color="auto"/>
        <w:right w:val="none" w:sz="0" w:space="0" w:color="auto"/>
      </w:divBdr>
    </w:div>
    <w:div w:id="662123279">
      <w:bodyDiv w:val="1"/>
      <w:marLeft w:val="0"/>
      <w:marRight w:val="0"/>
      <w:marTop w:val="0"/>
      <w:marBottom w:val="0"/>
      <w:divBdr>
        <w:top w:val="none" w:sz="0" w:space="0" w:color="auto"/>
        <w:left w:val="none" w:sz="0" w:space="0" w:color="auto"/>
        <w:bottom w:val="none" w:sz="0" w:space="0" w:color="auto"/>
        <w:right w:val="none" w:sz="0" w:space="0" w:color="auto"/>
      </w:divBdr>
    </w:div>
    <w:div w:id="970596349">
      <w:bodyDiv w:val="1"/>
      <w:marLeft w:val="0"/>
      <w:marRight w:val="0"/>
      <w:marTop w:val="0"/>
      <w:marBottom w:val="0"/>
      <w:divBdr>
        <w:top w:val="none" w:sz="0" w:space="0" w:color="auto"/>
        <w:left w:val="none" w:sz="0" w:space="0" w:color="auto"/>
        <w:bottom w:val="none" w:sz="0" w:space="0" w:color="auto"/>
        <w:right w:val="none" w:sz="0" w:space="0" w:color="auto"/>
      </w:divBdr>
    </w:div>
    <w:div w:id="1291014651">
      <w:bodyDiv w:val="1"/>
      <w:marLeft w:val="0"/>
      <w:marRight w:val="0"/>
      <w:marTop w:val="0"/>
      <w:marBottom w:val="0"/>
      <w:divBdr>
        <w:top w:val="none" w:sz="0" w:space="0" w:color="auto"/>
        <w:left w:val="none" w:sz="0" w:space="0" w:color="auto"/>
        <w:bottom w:val="none" w:sz="0" w:space="0" w:color="auto"/>
        <w:right w:val="none" w:sz="0" w:space="0" w:color="auto"/>
      </w:divBdr>
    </w:div>
    <w:div w:id="1522470271">
      <w:bodyDiv w:val="1"/>
      <w:marLeft w:val="0"/>
      <w:marRight w:val="0"/>
      <w:marTop w:val="0"/>
      <w:marBottom w:val="0"/>
      <w:divBdr>
        <w:top w:val="none" w:sz="0" w:space="0" w:color="auto"/>
        <w:left w:val="none" w:sz="0" w:space="0" w:color="auto"/>
        <w:bottom w:val="none" w:sz="0" w:space="0" w:color="auto"/>
        <w:right w:val="none" w:sz="0" w:space="0" w:color="auto"/>
      </w:divBdr>
    </w:div>
    <w:div w:id="1759522516">
      <w:bodyDiv w:val="1"/>
      <w:marLeft w:val="0"/>
      <w:marRight w:val="0"/>
      <w:marTop w:val="0"/>
      <w:marBottom w:val="0"/>
      <w:divBdr>
        <w:top w:val="none" w:sz="0" w:space="0" w:color="auto"/>
        <w:left w:val="none" w:sz="0" w:space="0" w:color="auto"/>
        <w:bottom w:val="none" w:sz="0" w:space="0" w:color="auto"/>
        <w:right w:val="none" w:sz="0" w:space="0" w:color="auto"/>
      </w:divBdr>
    </w:div>
    <w:div w:id="2118676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phan/Documents/Benutzerdefinierte%20Office-Vorlagen/Dokumente_ZP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sche Referenz">
  <b:Source>
    <b:Tag>Bur14</b:Tag>
    <b:SourceType>ElectronicSource</b:SourceType>
    <b:Guid>{289A473D-99FD-6F46-A78E-60FF51EC6383}</b:Guid>
    <b:Author>
      <b:Author>
        <b:NameList>
          <b:Person>
            <b:Last>Burde</b:Last>
            <b:First>Jan-Philipp</b:First>
          </b:Person>
          <b:Person>
            <b:Last>Wilhelm</b:Last>
            <b:First>Thomas</b:First>
          </b:Person>
          <b:Person>
            <b:Last>Wiesner</b:Last>
            <b:First>Hartmut</b:First>
          </b:Person>
        </b:NameList>
      </b:Author>
    </b:Author>
    <b:Title>Das Elektronengasmodell in der Sekundarstufe 1</b:Title>
    <b:City>Frankfurt</b:City>
    <b:StateProvince>Hessen</b:StateProvince>
    <b:CountryRegion>Deutschland</b:CountryRegion>
    <b:Year>2014</b:Year>
    <b:Month>Februar</b:Month>
    <b:Day>1</b:Day>
    <b:RefOrder>1</b:RefOrder>
  </b:Source>
  <b:Source>
    <b:Tag>Bur141</b:Tag>
    <b:SourceType>ElectronicSource</b:SourceType>
    <b:Guid>{ACFEA94A-D2A0-0E4E-AA29-CED9F0B50C64}</b:Guid>
    <b:Title>Das Elektronengasmodell und Möglichkeiten seiner Visualisierung</b:Title>
    <b:City>???</b:City>
    <b:CountryRegion>ß</b:CountryRegion>
    <b:Year>2014</b:Year>
    <b:Medium>???</b:Medium>
    <b:StandardNumber>???</b:StandardNumber>
    <b:Author>
      <b:Author>
        <b:NameList>
          <b:Person>
            <b:Last>Burde</b:Last>
            <b:First>Jan-Philipp</b:First>
          </b:Person>
          <b:Person>
            <b:Last>Wilhelm</b:Last>
            <b:First>Thomas</b:First>
          </b:Person>
          <b:Person>
            <b:Last>Wiesner</b:Last>
            <b:First>hartmut</b:First>
          </b:Person>
        </b:NameList>
      </b:Author>
    </b:Author>
    <b:RefOrder>2</b:RefOrder>
  </b:Source>
</b:Sources>
</file>

<file path=customXml/itemProps1.xml><?xml version="1.0" encoding="utf-8"?>
<ds:datastoreItem xmlns:ds="http://schemas.openxmlformats.org/officeDocument/2006/customXml" ds:itemID="{3E0C2481-3876-D248-83D1-DD0DD079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Dokumente_ZPG.dotx</Template>
  <TotalTime>0</TotalTime>
  <Pages>2</Pages>
  <Words>666</Words>
  <Characters>4203</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Kepler-Gymnasium Tübingen</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Juchem</dc:creator>
  <cp:keywords/>
  <dc:description/>
  <cp:lastModifiedBy>Stephan Juchem</cp:lastModifiedBy>
  <cp:revision>7</cp:revision>
  <dcterms:created xsi:type="dcterms:W3CDTF">2017-05-27T13:29:00Z</dcterms:created>
  <dcterms:modified xsi:type="dcterms:W3CDTF">2017-05-27T14:34:00Z</dcterms:modified>
</cp:coreProperties>
</file>