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5" w:rsidRDefault="00FD151C">
      <w:pPr>
        <w:spacing w:before="60" w:after="60"/>
      </w:pPr>
      <w:r>
        <w:t xml:space="preserve">Die Unterrichtseinheit wurde für Schülerinnen und Schüler konzipiert, die das Fach Latein im Pflichtbereich der Jahrgangsstufen 1 und 2 belegen. Der Umfang der Unterrichtseinheit beträgt etwa 3 bis 4 Wochen. Für das </w:t>
      </w:r>
      <w:r>
        <w:rPr>
          <w:b/>
          <w:bCs/>
        </w:rPr>
        <w:t>Leistungsfach</w:t>
      </w:r>
      <w:r>
        <w:t xml:space="preserve"> werden ca. 15 bis 18 Stunden Unterricht angenommen, für das </w:t>
      </w:r>
      <w:r>
        <w:rPr>
          <w:b/>
          <w:bCs/>
        </w:rPr>
        <w:t>Basisfach</w:t>
      </w:r>
      <w:r>
        <w:t xml:space="preserve"> ca. 9 bis 12 Stunden.</w:t>
      </w:r>
    </w:p>
    <w:p w:rsidR="00E356F5" w:rsidRDefault="00E356F5">
      <w:pPr>
        <w:spacing w:before="60" w:after="60"/>
      </w:pPr>
    </w:p>
    <w:p w:rsidR="00E356F5" w:rsidRDefault="00FD151C">
      <w:pPr>
        <w:spacing w:before="60" w:after="60"/>
      </w:pPr>
      <w:r>
        <w:t>Die Unterrichtseinheit besteht aus 2 Pflichtmodulen und 2 Wahlmodulen.</w:t>
      </w:r>
    </w:p>
    <w:p w:rsidR="00E356F5" w:rsidRDefault="00E356F5">
      <w:pPr>
        <w:spacing w:before="60" w:after="60"/>
      </w:pPr>
    </w:p>
    <w:tbl>
      <w:tblPr>
        <w:tblW w:w="935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164"/>
        <w:gridCol w:w="3072"/>
        <w:gridCol w:w="3114"/>
      </w:tblGrid>
      <w:tr w:rsidR="00E356F5"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Pflichtmodule</w:t>
            </w: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Wahlmodule</w:t>
            </w:r>
          </w:p>
        </w:tc>
      </w:tr>
      <w:tr w:rsidR="00E356F5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Modul 1:</w:t>
            </w:r>
          </w:p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 xml:space="preserve">Vergil </w:t>
            </w:r>
            <w:proofErr w:type="spellStart"/>
            <w:r>
              <w:rPr>
                <w:b/>
                <w:bCs/>
              </w:rPr>
              <w:t>Aen</w:t>
            </w:r>
            <w:proofErr w:type="spellEnd"/>
            <w:r>
              <w:rPr>
                <w:b/>
                <w:bCs/>
              </w:rPr>
              <w:t>. VI</w:t>
            </w: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FD151C">
            <w:pPr>
              <w:pStyle w:val="Tabelleninhalt"/>
            </w:pPr>
            <w:r>
              <w:t>- kursorische Lektüre</w:t>
            </w:r>
          </w:p>
          <w:p w:rsidR="00E356F5" w:rsidRDefault="00FD151C">
            <w:pPr>
              <w:pStyle w:val="Tabelleninhalt"/>
            </w:pPr>
            <w:r>
              <w:t xml:space="preserve">- Aufgaben zur </w:t>
            </w:r>
            <w:r>
              <w:br/>
            </w:r>
            <w:r>
              <w:t>Texterschließung</w:t>
            </w:r>
          </w:p>
          <w:p w:rsidR="00E356F5" w:rsidRDefault="00FD151C">
            <w:pPr>
              <w:pStyle w:val="Tabelleninhalt"/>
            </w:pPr>
            <w:r>
              <w:t xml:space="preserve">- statarische Lektüre: </w:t>
            </w:r>
            <w:r>
              <w:br/>
              <w:t>2 Passagen</w:t>
            </w:r>
          </w:p>
          <w:p w:rsidR="00E356F5" w:rsidRDefault="00E356F5">
            <w:pPr>
              <w:pStyle w:val="Tabelleninhalt"/>
            </w:pPr>
          </w:p>
          <w:p w:rsidR="00E356F5" w:rsidRDefault="00E356F5">
            <w:pPr>
              <w:pStyle w:val="Tabelleninhalt"/>
            </w:pPr>
          </w:p>
          <w:p w:rsidR="00E356F5" w:rsidRDefault="00FD151C">
            <w:pPr>
              <w:pStyle w:val="Tabelleninhal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Additum</w:t>
            </w:r>
            <w:proofErr w:type="spellEnd"/>
            <w:r>
              <w:rPr>
                <w:i/>
                <w:iCs/>
              </w:rPr>
              <w:t xml:space="preserve"> im LF:</w:t>
            </w:r>
          </w:p>
          <w:p w:rsidR="00E356F5" w:rsidRDefault="00FD151C">
            <w:pPr>
              <w:pStyle w:val="Tabelleninhalt"/>
            </w:pPr>
            <w:r>
              <w:t xml:space="preserve">- statarische Lektüre: </w:t>
            </w:r>
            <w:r>
              <w:br/>
              <w:t>2 weitere Passagen</w:t>
            </w:r>
          </w:p>
          <w:p w:rsidR="00E356F5" w:rsidRDefault="00E356F5">
            <w:pPr>
              <w:pStyle w:val="Tabelleninhalt"/>
            </w:pPr>
          </w:p>
          <w:p w:rsidR="00E356F5" w:rsidRDefault="00FD151C">
            <w:pPr>
              <w:pStyle w:val="Tabelleninhalt"/>
              <w:rPr>
                <w:i/>
                <w:iCs/>
              </w:rPr>
            </w:pPr>
            <w:r>
              <w:rPr>
                <w:i/>
                <w:iCs/>
              </w:rPr>
              <w:t xml:space="preserve">optionales </w:t>
            </w:r>
            <w:proofErr w:type="spellStart"/>
            <w:r>
              <w:rPr>
                <w:i/>
                <w:iCs/>
              </w:rPr>
              <w:t>Additum</w:t>
            </w:r>
            <w:proofErr w:type="spellEnd"/>
            <w:r>
              <w:rPr>
                <w:i/>
                <w:iCs/>
              </w:rPr>
              <w:t>:</w:t>
            </w:r>
          </w:p>
          <w:p w:rsidR="00E356F5" w:rsidRDefault="00FD151C">
            <w:pPr>
              <w:pStyle w:val="Tabelleninhalt"/>
            </w:pPr>
            <w:r>
              <w:t>- 1 oder 2 Schreibaufgaben</w:t>
            </w:r>
          </w:p>
          <w:p w:rsidR="00E356F5" w:rsidRDefault="00E356F5">
            <w:pPr>
              <w:pStyle w:val="Tabelleninhalt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Modul 2:</w:t>
            </w:r>
          </w:p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Vergleich Ovid/Vergil</w:t>
            </w: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FD151C">
            <w:pPr>
              <w:pStyle w:val="Tabelleninhalt"/>
            </w:pPr>
            <w:r>
              <w:t xml:space="preserve">- </w:t>
            </w:r>
            <w:proofErr w:type="spellStart"/>
            <w:r>
              <w:t>met</w:t>
            </w:r>
            <w:proofErr w:type="spellEnd"/>
            <w:r>
              <w:t>. XIV, 104-157,</w:t>
            </w:r>
            <w:r>
              <w:br/>
              <w:t>zweisprachig</w:t>
            </w:r>
          </w:p>
          <w:p w:rsidR="00E356F5" w:rsidRDefault="00FD151C">
            <w:pPr>
              <w:pStyle w:val="Tabelleninhalt"/>
            </w:pPr>
            <w:r>
              <w:t>- 3 Interpretationsaufgaben</w:t>
            </w:r>
          </w:p>
          <w:p w:rsidR="00E356F5" w:rsidRDefault="00E356F5">
            <w:pPr>
              <w:pStyle w:val="Tabelleninhalt"/>
            </w:pPr>
          </w:p>
          <w:p w:rsidR="00E356F5" w:rsidRDefault="00E356F5">
            <w:pPr>
              <w:pStyle w:val="Tabelleninhalt"/>
            </w:pPr>
          </w:p>
          <w:p w:rsidR="00E356F5" w:rsidRDefault="00E356F5">
            <w:pPr>
              <w:pStyle w:val="Tabelleninhalt"/>
            </w:pPr>
          </w:p>
          <w:p w:rsidR="00E356F5" w:rsidRDefault="00E356F5">
            <w:pPr>
              <w:pStyle w:val="Tabelleninhalt"/>
            </w:pPr>
          </w:p>
          <w:p w:rsidR="00E356F5" w:rsidRDefault="00FD151C">
            <w:pPr>
              <w:pStyle w:val="Tabelleninhal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Additum</w:t>
            </w:r>
            <w:proofErr w:type="spellEnd"/>
            <w:r>
              <w:rPr>
                <w:i/>
                <w:iCs/>
              </w:rPr>
              <w:t xml:space="preserve"> im LF:</w:t>
            </w:r>
          </w:p>
          <w:p w:rsidR="00E356F5" w:rsidRDefault="00FD151C">
            <w:pPr>
              <w:pStyle w:val="Tabelleninhalt"/>
            </w:pPr>
            <w:r>
              <w:t>- 1 weitere Interpretationsaufgabe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Modul 3:</w:t>
            </w:r>
          </w:p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Vergleich Kracht/Vergil</w:t>
            </w: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Modul 4:</w:t>
            </w:r>
          </w:p>
          <w:p w:rsidR="00E356F5" w:rsidRDefault="00FD151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Vergleich Kling/Vergil</w:t>
            </w: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E356F5">
            <w:pPr>
              <w:pStyle w:val="Tabelleninhalt"/>
              <w:rPr>
                <w:b/>
                <w:bCs/>
              </w:rPr>
            </w:pPr>
          </w:p>
          <w:p w:rsidR="00E356F5" w:rsidRDefault="00E356F5">
            <w:pPr>
              <w:pStyle w:val="Tabelleninhalt"/>
              <w:rPr>
                <w:i/>
                <w:iCs/>
              </w:rPr>
            </w:pPr>
          </w:p>
          <w:p w:rsidR="00E356F5" w:rsidRDefault="00FD151C">
            <w:pPr>
              <w:pStyle w:val="Tabelleninhalt"/>
              <w:rPr>
                <w:i/>
                <w:iCs/>
              </w:rPr>
            </w:pPr>
            <w:r>
              <w:rPr>
                <w:i/>
                <w:iCs/>
              </w:rPr>
              <w:t>LF: 2 Module</w:t>
            </w:r>
          </w:p>
          <w:p w:rsidR="00E356F5" w:rsidRDefault="00FD151C">
            <w:pPr>
              <w:pStyle w:val="Tabelleninhalt"/>
              <w:rPr>
                <w:i/>
                <w:iCs/>
              </w:rPr>
            </w:pPr>
            <w:r>
              <w:rPr>
                <w:i/>
                <w:iCs/>
              </w:rPr>
              <w:t>BF: 1 Modul</w:t>
            </w:r>
          </w:p>
          <w:p w:rsidR="00E356F5" w:rsidRDefault="00E356F5">
            <w:pPr>
              <w:pStyle w:val="Tabelleninhalt"/>
              <w:rPr>
                <w:i/>
                <w:iCs/>
              </w:rPr>
            </w:pPr>
          </w:p>
        </w:tc>
      </w:tr>
    </w:tbl>
    <w:p w:rsidR="00E356F5" w:rsidRDefault="00E356F5">
      <w:pPr>
        <w:spacing w:before="60" w:after="60"/>
      </w:pPr>
    </w:p>
    <w:p w:rsidR="00E356F5" w:rsidRDefault="00E356F5">
      <w:pPr>
        <w:spacing w:before="60" w:after="60"/>
      </w:pPr>
    </w:p>
    <w:p w:rsidR="00E356F5" w:rsidRDefault="00FD151C">
      <w:pPr>
        <w:spacing w:before="60" w:after="60"/>
      </w:pPr>
      <w:r>
        <w:rPr>
          <w:u w:val="single"/>
        </w:rPr>
        <w:t>Hinweis zu den Materialien</w:t>
      </w:r>
      <w:r>
        <w:t>:</w:t>
      </w:r>
    </w:p>
    <w:p w:rsidR="00E356F5" w:rsidRDefault="00FD151C">
      <w:pPr>
        <w:spacing w:before="60" w:after="60"/>
      </w:pPr>
      <w:r>
        <w:t xml:space="preserve">Die Unterrichtseinheit basiert in Teilen auf urheberrechtlich geschützten </w:t>
      </w:r>
      <w:r>
        <w:t>Materialien. Diese werden den Teilnehmerinnen und Teilnehmern der Lehrerfortbildung zur unterrichtlichen Verwendung bereitgestellt.</w:t>
      </w:r>
    </w:p>
    <w:p w:rsidR="00E356F5" w:rsidRDefault="00E356F5">
      <w:pPr>
        <w:spacing w:before="60" w:after="60"/>
      </w:pPr>
    </w:p>
    <w:p w:rsidR="00E356F5" w:rsidRDefault="00E356F5">
      <w:pPr>
        <w:spacing w:before="60" w:after="60"/>
      </w:pPr>
    </w:p>
    <w:p w:rsidR="00E356F5" w:rsidRDefault="00FD151C">
      <w:pPr>
        <w:spacing w:before="60" w:after="60"/>
      </w:pPr>
      <w:r>
        <w:rPr>
          <w:u w:val="single"/>
        </w:rPr>
        <w:t>Hinweis zur Leistungsmessung</w:t>
      </w:r>
      <w:r>
        <w:t>:</w:t>
      </w:r>
    </w:p>
    <w:p w:rsidR="00E356F5" w:rsidRDefault="00FD151C">
      <w:pPr>
        <w:spacing w:before="60" w:after="60"/>
      </w:pPr>
      <w:r>
        <w:t>Wenn die Unterrichtseinheit in vollem Umfang durchgeführt wird, ist es naheliegend, dass sie</w:t>
      </w:r>
      <w:r>
        <w:t xml:space="preserve"> mit einer schriftlichen Leistungsmessung abgeschlossen wird.</w:t>
      </w:r>
    </w:p>
    <w:p w:rsidR="00E356F5" w:rsidRDefault="00FD151C">
      <w:pPr>
        <w:spacing w:before="60" w:after="60"/>
      </w:pPr>
      <w:r>
        <w:t>Die vorzulegende Interpretationsklausur soll sich hinsichtlich Aufbau und Aufgabentypen an der Interpretationsaufgabe der schriftlichen Abiturprüfung orientieren. Neben den Abiturprüfungen der j</w:t>
      </w:r>
      <w:r>
        <w:t>üngeren Vergangenheit bieten auch die zum Ovid-Text vorgelegten Aufgaben Anhaltspunkte. Einige Kriterien der Klausur seien im Folgenden genannt:</w:t>
      </w:r>
    </w:p>
    <w:p w:rsidR="00E356F5" w:rsidRDefault="00FD151C">
      <w:pPr>
        <w:spacing w:before="60" w:after="60"/>
      </w:pPr>
      <w:r>
        <w:t>- Bearbeitungszeit: ca. 90 Minuten</w:t>
      </w:r>
    </w:p>
    <w:p w:rsidR="00E356F5" w:rsidRDefault="00FD151C">
      <w:pPr>
        <w:spacing w:before="60" w:after="60"/>
      </w:pPr>
      <w:r>
        <w:t xml:space="preserve">- zweisprachige Textgrundlage: ein Textauszug von ca. 30 Versen aus </w:t>
      </w:r>
      <w:proofErr w:type="spellStart"/>
      <w:r>
        <w:t>Verg</w:t>
      </w:r>
      <w:proofErr w:type="spellEnd"/>
      <w:r>
        <w:t xml:space="preserve">. </w:t>
      </w:r>
      <w:proofErr w:type="spellStart"/>
      <w:r>
        <w:t>Ae</w:t>
      </w:r>
      <w:r>
        <w:t>n</w:t>
      </w:r>
      <w:proofErr w:type="spellEnd"/>
      <w:r>
        <w:t>. VI, der im Unterricht nicht eingehend behandelt worden ist; ggf. Wort- und Sachangaben</w:t>
      </w:r>
    </w:p>
    <w:p w:rsidR="00E356F5" w:rsidRDefault="00FD151C">
      <w:pPr>
        <w:spacing w:before="60" w:after="60"/>
      </w:pPr>
      <w:r>
        <w:t>- Aufgaben zu allen drei Anforderungsbereichen; Akzent: AFB II</w:t>
      </w:r>
    </w:p>
    <w:p w:rsidR="00E356F5" w:rsidRDefault="00FD151C">
      <w:pPr>
        <w:spacing w:before="60" w:after="60"/>
      </w:pPr>
      <w:r>
        <w:lastRenderedPageBreak/>
        <w:t xml:space="preserve">- Aufgabentypen: z. B. Gliederung, sprachlich-stilistische Gestaltung, Charakterisierung; abschließend </w:t>
      </w:r>
      <w:r>
        <w:t>eine Erörterung/Stellungnahme/gestalterische Aufgabe, die über den vorgelegten Textauszug hinausgeht</w:t>
      </w:r>
    </w:p>
    <w:p w:rsidR="00E356F5" w:rsidRDefault="00FD151C">
      <w:pPr>
        <w:spacing w:before="60" w:after="60"/>
      </w:pPr>
      <w:r>
        <w:t>- eine Aufgabe zur Intertextualität, die auf die im Unterricht behandelten Vergleichstexte oder auf die Lektürekenntnisse der Schülerinnen und Schüler Bezu</w:t>
      </w:r>
      <w:r>
        <w:t>g nimmt</w:t>
      </w:r>
    </w:p>
    <w:p w:rsidR="00E356F5" w:rsidRDefault="00FD151C">
      <w:pPr>
        <w:spacing w:before="60" w:after="60"/>
      </w:pPr>
      <w:r>
        <w:t xml:space="preserve">- </w:t>
      </w:r>
      <w:r>
        <w:t>D</w:t>
      </w:r>
      <w:r>
        <w:t>ifferenzierung zwischen den Anforderungen im Basis- und im</w:t>
      </w:r>
      <w:r>
        <w:t xml:space="preserve"> Leistungsfach, je nach G</w:t>
      </w:r>
      <w:r>
        <w:t>estaltung des Unterrichts</w:t>
      </w:r>
    </w:p>
    <w:p w:rsidR="00E356F5" w:rsidRDefault="00E356F5">
      <w:pPr>
        <w:spacing w:before="60" w:after="60"/>
      </w:pPr>
      <w:bookmarkStart w:id="0" w:name="_GoBack"/>
      <w:bookmarkEnd w:id="0"/>
    </w:p>
    <w:p w:rsidR="00E356F5" w:rsidRDefault="00FD151C">
      <w:pPr>
        <w:spacing w:before="60" w:after="60"/>
      </w:pPr>
      <w:r>
        <w:t xml:space="preserve">Die Unterrichtseinheit eignet sich auch als Grundlage für eine von der Lehrkraft zu konzipierende Aufgabe in der mündlichen </w:t>
      </w:r>
      <w:r>
        <w:t xml:space="preserve">Abiturprüfung. Für die Übersetzung kann entweder ein mit Angaben und Hilfen versehener Textauszug aus </w:t>
      </w:r>
      <w:proofErr w:type="spellStart"/>
      <w:r>
        <w:t>Verg</w:t>
      </w:r>
      <w:proofErr w:type="spellEnd"/>
      <w:r>
        <w:t xml:space="preserve">. </w:t>
      </w:r>
      <w:proofErr w:type="spellStart"/>
      <w:r>
        <w:t>Aen</w:t>
      </w:r>
      <w:proofErr w:type="spellEnd"/>
      <w:r>
        <w:t>. VI oder ein thematisch verwandter Prosatext (z. B. Cicero oder Seneca zur Überwindung der Todesfurcht) dargeboten werden.</w:t>
      </w:r>
    </w:p>
    <w:p w:rsidR="00E356F5" w:rsidRDefault="00E356F5">
      <w:pPr>
        <w:spacing w:before="60" w:after="60"/>
      </w:pPr>
    </w:p>
    <w:p w:rsidR="00E356F5" w:rsidRDefault="00E356F5">
      <w:pPr>
        <w:spacing w:before="60" w:after="60"/>
      </w:pPr>
    </w:p>
    <w:sectPr w:rsidR="00E356F5">
      <w:headerReference w:type="default" r:id="rId6"/>
      <w:footerReference w:type="default" r:id="rId7"/>
      <w:pgSz w:w="11906" w:h="16838"/>
      <w:pgMar w:top="1134" w:right="1134" w:bottom="1134" w:left="1418" w:header="737" w:footer="851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51C">
      <w:r>
        <w:separator/>
      </w:r>
    </w:p>
  </w:endnote>
  <w:endnote w:type="continuationSeparator" w:id="0">
    <w:p w:rsidR="00000000" w:rsidRDefault="00F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F5" w:rsidRDefault="00FD151C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  <w:t>ZPG Latein, Bildungsplan 2016, Klassen 11/12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51C">
      <w:r>
        <w:separator/>
      </w:r>
    </w:p>
  </w:footnote>
  <w:footnote w:type="continuationSeparator" w:id="0">
    <w:p w:rsidR="00000000" w:rsidRDefault="00FD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F5" w:rsidRDefault="00E356F5">
    <w:pPr>
      <w:pStyle w:val="Kopfzeile"/>
      <w:spacing w:after="12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F5"/>
    <w:rsid w:val="00E356F5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7DE8"/>
  <w15:docId w15:val="{AACBFAFA-143D-4094-8443-B7C599F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qFormat/>
    <w:rPr>
      <w:rFonts w:ascii="Arial" w:hAnsi="Arial"/>
      <w:sz w:val="24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B6116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4FD2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qFormat/>
    <w:pPr>
      <w:ind w:left="283" w:hanging="283"/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Company>BITBW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Hannemann, Dr. Dennis (RPT)</dc:creator>
  <dc:description/>
  <cp:lastModifiedBy>Hannemann, Dr. Dennis (RPT)</cp:lastModifiedBy>
  <cp:revision>81</cp:revision>
  <cp:lastPrinted>2021-10-15T08:45:00Z</cp:lastPrinted>
  <dcterms:created xsi:type="dcterms:W3CDTF">2020-11-30T18:33:00Z</dcterms:created>
  <dcterms:modified xsi:type="dcterms:W3CDTF">2021-10-18T07:42:00Z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