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932" w:rsidRDefault="006F6445" w:rsidP="0044650F">
      <w:pPr>
        <w:rPr>
          <w:b/>
          <w:sz w:val="22"/>
          <w:u w:val="single"/>
        </w:rPr>
      </w:pPr>
      <w:r w:rsidRPr="006F6445">
        <w:rPr>
          <w:b/>
          <w:sz w:val="22"/>
          <w:u w:val="single"/>
        </w:rPr>
        <w:t>Methodisches Vorgehen</w:t>
      </w:r>
    </w:p>
    <w:p w:rsidR="006F6445" w:rsidRDefault="006F6445" w:rsidP="0044650F">
      <w:pPr>
        <w:rPr>
          <w:b/>
          <w:sz w:val="22"/>
          <w:u w:val="single"/>
        </w:rPr>
      </w:pPr>
    </w:p>
    <w:p w:rsidR="006F6445" w:rsidRDefault="006F6445" w:rsidP="006F6445">
      <w:pPr>
        <w:spacing w:after="120"/>
        <w:rPr>
          <w:sz w:val="22"/>
        </w:rPr>
      </w:pPr>
      <w:r>
        <w:rPr>
          <w:sz w:val="22"/>
        </w:rPr>
        <w:t>Ein Lernzirkel ermöglicht es</w:t>
      </w:r>
      <w:r w:rsidR="00C3252C">
        <w:rPr>
          <w:sz w:val="22"/>
        </w:rPr>
        <w:t>,</w:t>
      </w:r>
      <w:r>
        <w:rPr>
          <w:sz w:val="22"/>
        </w:rPr>
        <w:t xml:space="preserve"> in besondere</w:t>
      </w:r>
      <w:r w:rsidR="00A42CCA">
        <w:rPr>
          <w:sz w:val="22"/>
        </w:rPr>
        <w:t>r Weise  individuelles Arbeiten</w:t>
      </w:r>
      <w:r w:rsidR="001757B9">
        <w:rPr>
          <w:sz w:val="22"/>
        </w:rPr>
        <w:t xml:space="preserve"> </w:t>
      </w:r>
      <w:r>
        <w:rPr>
          <w:sz w:val="22"/>
        </w:rPr>
        <w:t>mit unterschiedl</w:t>
      </w:r>
      <w:r>
        <w:rPr>
          <w:sz w:val="22"/>
        </w:rPr>
        <w:t>i</w:t>
      </w:r>
      <w:r>
        <w:rPr>
          <w:sz w:val="22"/>
        </w:rPr>
        <w:t>chen Methoden zu verbinden. So können die Arbeitsaufträge in unterschiedlichen Anford</w:t>
      </w:r>
      <w:r>
        <w:rPr>
          <w:sz w:val="22"/>
        </w:rPr>
        <w:t>e</w:t>
      </w:r>
      <w:r>
        <w:rPr>
          <w:sz w:val="22"/>
        </w:rPr>
        <w:t xml:space="preserve">rungsniveaus gestaltet werden, </w:t>
      </w:r>
      <w:r w:rsidR="000447E6">
        <w:rPr>
          <w:sz w:val="22"/>
        </w:rPr>
        <w:t>was</w:t>
      </w:r>
      <w:r>
        <w:rPr>
          <w:sz w:val="22"/>
        </w:rPr>
        <w:t xml:space="preserve"> das Arbei</w:t>
      </w:r>
      <w:r w:rsidR="000447E6">
        <w:rPr>
          <w:sz w:val="22"/>
        </w:rPr>
        <w:t>ten abwechslungsreich macht</w:t>
      </w:r>
      <w:r>
        <w:rPr>
          <w:sz w:val="22"/>
        </w:rPr>
        <w:t>.</w:t>
      </w:r>
    </w:p>
    <w:p w:rsidR="000447E6" w:rsidRDefault="000447E6" w:rsidP="006F6445">
      <w:pPr>
        <w:spacing w:after="120"/>
        <w:rPr>
          <w:sz w:val="22"/>
        </w:rPr>
      </w:pPr>
      <w:r>
        <w:rPr>
          <w:sz w:val="22"/>
        </w:rPr>
        <w:t>Für die Durchführung des kompletten Lernzirkels sollte mindestens eine Doppelstunde a</w:t>
      </w:r>
      <w:r>
        <w:rPr>
          <w:sz w:val="22"/>
        </w:rPr>
        <w:t>n</w:t>
      </w:r>
      <w:r>
        <w:rPr>
          <w:sz w:val="22"/>
        </w:rPr>
        <w:t>gesetzt werden.</w:t>
      </w:r>
    </w:p>
    <w:p w:rsidR="00A42CCA" w:rsidRDefault="00A42CCA" w:rsidP="00A42CCA">
      <w:pPr>
        <w:pStyle w:val="Kopfzeile"/>
        <w:tabs>
          <w:tab w:val="clear" w:pos="4536"/>
          <w:tab w:val="clear" w:pos="9072"/>
        </w:tabs>
        <w:spacing w:after="120"/>
        <w:rPr>
          <w:rFonts w:cs="Arial"/>
          <w:sz w:val="22"/>
          <w:szCs w:val="22"/>
        </w:rPr>
      </w:pPr>
      <w:r>
        <w:rPr>
          <w:rFonts w:cs="Arial"/>
          <w:sz w:val="22"/>
          <w:szCs w:val="22"/>
        </w:rPr>
        <w:t>Es bietet sich aufgrund der Anzahl der Stationen an</w:t>
      </w:r>
      <w:r w:rsidR="00C3252C">
        <w:rPr>
          <w:rFonts w:cs="Arial"/>
          <w:sz w:val="22"/>
          <w:szCs w:val="22"/>
        </w:rPr>
        <w:t>,</w:t>
      </w:r>
      <w:r w:rsidRPr="00D256E7">
        <w:rPr>
          <w:rFonts w:cs="Arial"/>
          <w:sz w:val="22"/>
          <w:szCs w:val="22"/>
        </w:rPr>
        <w:t xml:space="preserve"> die </w:t>
      </w:r>
      <w:r w:rsidR="00BE5738">
        <w:rPr>
          <w:rFonts w:cs="Arial"/>
          <w:sz w:val="22"/>
          <w:szCs w:val="22"/>
        </w:rPr>
        <w:t>Schülerinnen und Schüler</w:t>
      </w:r>
      <w:r w:rsidRPr="00D256E7">
        <w:rPr>
          <w:rFonts w:cs="Arial"/>
          <w:sz w:val="22"/>
          <w:szCs w:val="22"/>
        </w:rPr>
        <w:t xml:space="preserve"> in gleich große Gru</w:t>
      </w:r>
      <w:r w:rsidRPr="00D256E7">
        <w:rPr>
          <w:rFonts w:cs="Arial"/>
          <w:sz w:val="22"/>
          <w:szCs w:val="22"/>
        </w:rPr>
        <w:t>p</w:t>
      </w:r>
      <w:r w:rsidRPr="00D256E7">
        <w:rPr>
          <w:rFonts w:cs="Arial"/>
          <w:sz w:val="22"/>
          <w:szCs w:val="22"/>
        </w:rPr>
        <w:t xml:space="preserve">pen einzuteilen und an jeder Station jeweils </w:t>
      </w:r>
      <w:r w:rsidR="000447E6">
        <w:rPr>
          <w:rFonts w:cs="Arial"/>
          <w:sz w:val="22"/>
          <w:szCs w:val="22"/>
        </w:rPr>
        <w:t>eine Gruppe beginnen zu lassen.</w:t>
      </w:r>
    </w:p>
    <w:p w:rsidR="000447E6" w:rsidRDefault="000447E6" w:rsidP="000447E6">
      <w:pPr>
        <w:spacing w:after="120"/>
        <w:rPr>
          <w:sz w:val="22"/>
        </w:rPr>
      </w:pPr>
      <w:r>
        <w:rPr>
          <w:sz w:val="22"/>
        </w:rPr>
        <w:t xml:space="preserve">Die Stationen 1 bis 4 sind Pflichtstationen, die Stationen 5 und 6 sind als Puffer gedacht. </w:t>
      </w:r>
    </w:p>
    <w:p w:rsidR="00A42CCA" w:rsidRPr="00A42CCA" w:rsidRDefault="00A42CCA" w:rsidP="00A42CCA">
      <w:pPr>
        <w:pStyle w:val="Kopfzeile"/>
        <w:tabs>
          <w:tab w:val="clear" w:pos="4536"/>
          <w:tab w:val="clear" w:pos="9072"/>
        </w:tabs>
        <w:spacing w:after="120"/>
        <w:rPr>
          <w:rFonts w:cs="Arial"/>
          <w:sz w:val="22"/>
          <w:szCs w:val="22"/>
        </w:rPr>
      </w:pPr>
      <w:r>
        <w:rPr>
          <w:rFonts w:cs="Arial"/>
          <w:sz w:val="22"/>
          <w:szCs w:val="22"/>
        </w:rPr>
        <w:t>Da all</w:t>
      </w:r>
      <w:r w:rsidRPr="00A42CCA">
        <w:rPr>
          <w:rFonts w:cs="Arial"/>
          <w:sz w:val="22"/>
          <w:szCs w:val="22"/>
        </w:rPr>
        <w:t xml:space="preserve">e vier Pflichtstationen (7.2.- 7.7.) des Lernzirkels hinsichtlich des Schwierigkeitsgrades verhältnismäßig </w:t>
      </w:r>
      <w:r w:rsidR="00C3252C">
        <w:rPr>
          <w:rFonts w:cs="Arial"/>
          <w:sz w:val="22"/>
          <w:szCs w:val="22"/>
        </w:rPr>
        <w:t>gleichwertig sind und nicht auf</w:t>
      </w:r>
      <w:r w:rsidRPr="00A42CCA">
        <w:rPr>
          <w:rFonts w:cs="Arial"/>
          <w:sz w:val="22"/>
          <w:szCs w:val="22"/>
        </w:rPr>
        <w:t>einander aufbauen, werden gleich zu Unte</w:t>
      </w:r>
      <w:r w:rsidRPr="00A42CCA">
        <w:rPr>
          <w:rFonts w:cs="Arial"/>
          <w:sz w:val="22"/>
          <w:szCs w:val="22"/>
        </w:rPr>
        <w:t>r</w:t>
      </w:r>
      <w:r w:rsidRPr="00A42CCA">
        <w:rPr>
          <w:rFonts w:cs="Arial"/>
          <w:sz w:val="22"/>
          <w:szCs w:val="22"/>
        </w:rPr>
        <w:t>richtsbeginn alle Unterlagen für die Stationen, aber auch die Info</w:t>
      </w:r>
      <w:r w:rsidR="000447E6">
        <w:rPr>
          <w:rFonts w:cs="Arial"/>
          <w:sz w:val="22"/>
          <w:szCs w:val="22"/>
        </w:rPr>
        <w:t>blätter</w:t>
      </w:r>
      <w:r w:rsidR="00C3252C">
        <w:rPr>
          <w:rFonts w:cs="Arial"/>
          <w:sz w:val="22"/>
          <w:szCs w:val="22"/>
        </w:rPr>
        <w:t xml:space="preserve"> (7.1.), </w:t>
      </w:r>
      <w:r w:rsidRPr="00A42CCA">
        <w:rPr>
          <w:rFonts w:cs="Arial"/>
          <w:sz w:val="22"/>
          <w:szCs w:val="22"/>
        </w:rPr>
        <w:t>das Material des statistischen Bundesamtes und des Bundesfamilienministeriums (vgl. Links, 7.2.)</w:t>
      </w:r>
      <w:r w:rsidR="000447E6">
        <w:rPr>
          <w:rFonts w:cs="Arial"/>
          <w:sz w:val="22"/>
          <w:szCs w:val="22"/>
        </w:rPr>
        <w:t>,</w:t>
      </w:r>
      <w:r w:rsidRPr="00A42CCA">
        <w:rPr>
          <w:rFonts w:cs="Arial"/>
          <w:sz w:val="22"/>
          <w:szCs w:val="22"/>
        </w:rPr>
        <w:t xml:space="preserve"> der Kontrollordner mit den Lösungen </w:t>
      </w:r>
      <w:r>
        <w:rPr>
          <w:rFonts w:cs="Arial"/>
          <w:sz w:val="22"/>
          <w:szCs w:val="22"/>
        </w:rPr>
        <w:t xml:space="preserve">(die </w:t>
      </w:r>
      <w:r w:rsidR="00BE5738">
        <w:rPr>
          <w:rFonts w:cs="Arial"/>
          <w:sz w:val="22"/>
          <w:szCs w:val="22"/>
        </w:rPr>
        <w:t>Schülerinnen und Schüler</w:t>
      </w:r>
      <w:r>
        <w:rPr>
          <w:rFonts w:cs="Arial"/>
          <w:sz w:val="22"/>
          <w:szCs w:val="22"/>
        </w:rPr>
        <w:t xml:space="preserve"> sollten jeweils ihre Erge</w:t>
      </w:r>
      <w:r>
        <w:rPr>
          <w:rFonts w:cs="Arial"/>
          <w:sz w:val="22"/>
          <w:szCs w:val="22"/>
        </w:rPr>
        <w:t>b</w:t>
      </w:r>
      <w:r>
        <w:rPr>
          <w:rFonts w:cs="Arial"/>
          <w:sz w:val="22"/>
          <w:szCs w:val="22"/>
        </w:rPr>
        <w:t xml:space="preserve">nisse mit den Musterlösungen vergleichen können) </w:t>
      </w:r>
      <w:r w:rsidRPr="00A42CCA">
        <w:rPr>
          <w:rFonts w:cs="Arial"/>
          <w:sz w:val="22"/>
          <w:szCs w:val="22"/>
        </w:rPr>
        <w:t>und die Laufzettel (7.10</w:t>
      </w:r>
      <w:r>
        <w:rPr>
          <w:rFonts w:cs="Arial"/>
          <w:sz w:val="22"/>
          <w:szCs w:val="22"/>
        </w:rPr>
        <w:t>.: Auf dem Lau</w:t>
      </w:r>
      <w:r>
        <w:rPr>
          <w:rFonts w:cs="Arial"/>
          <w:sz w:val="22"/>
          <w:szCs w:val="22"/>
        </w:rPr>
        <w:t>f</w:t>
      </w:r>
      <w:r>
        <w:rPr>
          <w:rFonts w:cs="Arial"/>
          <w:sz w:val="22"/>
          <w:szCs w:val="22"/>
        </w:rPr>
        <w:t xml:space="preserve">zettel können die </w:t>
      </w:r>
      <w:r w:rsidR="00BE5738">
        <w:rPr>
          <w:rFonts w:cs="Arial"/>
          <w:sz w:val="22"/>
          <w:szCs w:val="22"/>
        </w:rPr>
        <w:t>Schülerinnen und Schüler</w:t>
      </w:r>
      <w:r>
        <w:rPr>
          <w:rFonts w:cs="Arial"/>
          <w:sz w:val="22"/>
          <w:szCs w:val="22"/>
        </w:rPr>
        <w:t xml:space="preserve"> die bereits bearbeiteten Stationen abhaken</w:t>
      </w:r>
      <w:r w:rsidRPr="00A42CCA">
        <w:rPr>
          <w:rFonts w:cs="Arial"/>
          <w:sz w:val="22"/>
          <w:szCs w:val="22"/>
        </w:rPr>
        <w:t xml:space="preserve">) ausgelegt. </w:t>
      </w:r>
    </w:p>
    <w:p w:rsidR="00A42CCA" w:rsidRDefault="00A42CCA" w:rsidP="00A42CCA">
      <w:pPr>
        <w:spacing w:after="120"/>
        <w:rPr>
          <w:sz w:val="22"/>
        </w:rPr>
      </w:pPr>
      <w:r w:rsidRPr="00D256E7">
        <w:rPr>
          <w:sz w:val="22"/>
        </w:rPr>
        <w:t xml:space="preserve">Der </w:t>
      </w:r>
      <w:proofErr w:type="spellStart"/>
      <w:r w:rsidRPr="00D256E7">
        <w:rPr>
          <w:sz w:val="22"/>
        </w:rPr>
        <w:t>Stationenwechsel</w:t>
      </w:r>
      <w:proofErr w:type="spellEnd"/>
      <w:r w:rsidRPr="00D256E7">
        <w:rPr>
          <w:sz w:val="22"/>
        </w:rPr>
        <w:t xml:space="preserve"> sollte sich durch das individuelle Arbeiten ergeben, wobei es den </w:t>
      </w:r>
      <w:r w:rsidR="00713249">
        <w:rPr>
          <w:sz w:val="22"/>
        </w:rPr>
        <w:t>ei</w:t>
      </w:r>
      <w:r w:rsidR="00713249">
        <w:rPr>
          <w:sz w:val="22"/>
        </w:rPr>
        <w:t>n</w:t>
      </w:r>
      <w:r w:rsidR="00713249">
        <w:rPr>
          <w:sz w:val="22"/>
        </w:rPr>
        <w:t xml:space="preserve">zelnen </w:t>
      </w:r>
      <w:r w:rsidRPr="00D256E7">
        <w:rPr>
          <w:sz w:val="22"/>
        </w:rPr>
        <w:t xml:space="preserve">Gruppen überlassen ist, ob sie die Stationen gemeinsam oder einzeln bearbeiten. Grob lässt sich erwarten, dass die </w:t>
      </w:r>
      <w:r w:rsidR="00BE5738">
        <w:rPr>
          <w:sz w:val="22"/>
        </w:rPr>
        <w:t>Schülerinnen und Schüler</w:t>
      </w:r>
      <w:r w:rsidRPr="00D256E7">
        <w:rPr>
          <w:sz w:val="22"/>
        </w:rPr>
        <w:t xml:space="preserve"> pro Station durchschnittlich 15 bis 20 Min</w:t>
      </w:r>
      <w:r w:rsidRPr="00D256E7">
        <w:rPr>
          <w:sz w:val="22"/>
        </w:rPr>
        <w:t>u</w:t>
      </w:r>
      <w:r w:rsidRPr="00D256E7">
        <w:rPr>
          <w:sz w:val="22"/>
        </w:rPr>
        <w:t xml:space="preserve">ten Bearbeitungszeit benötigen. </w:t>
      </w:r>
    </w:p>
    <w:p w:rsidR="006F6445" w:rsidRDefault="0009511B" w:rsidP="006F6445">
      <w:pPr>
        <w:spacing w:after="120"/>
        <w:rPr>
          <w:sz w:val="22"/>
        </w:rPr>
      </w:pPr>
      <w:r>
        <w:rPr>
          <w:sz w:val="22"/>
        </w:rPr>
        <w:t xml:space="preserve">Station 1 (7.3.) ist so gestaltet, dass die </w:t>
      </w:r>
      <w:r w:rsidR="00BE5738">
        <w:rPr>
          <w:sz w:val="22"/>
        </w:rPr>
        <w:t>Schülerinnen und Schüler</w:t>
      </w:r>
      <w:r>
        <w:rPr>
          <w:sz w:val="22"/>
        </w:rPr>
        <w:t xml:space="preserve"> grundsätzliche Fragen zum Thema Verschuldung mit Hilfe der bereitgelegten Infoblätter beantworten </w:t>
      </w:r>
      <w:r w:rsidR="000447E6">
        <w:rPr>
          <w:sz w:val="22"/>
        </w:rPr>
        <w:t>können</w:t>
      </w:r>
      <w:r>
        <w:rPr>
          <w:sz w:val="22"/>
        </w:rPr>
        <w:t>.</w:t>
      </w:r>
    </w:p>
    <w:p w:rsidR="0009511B" w:rsidRDefault="0009511B" w:rsidP="006F6445">
      <w:pPr>
        <w:spacing w:after="120"/>
        <w:rPr>
          <w:sz w:val="22"/>
        </w:rPr>
      </w:pPr>
      <w:r>
        <w:rPr>
          <w:sz w:val="22"/>
        </w:rPr>
        <w:t xml:space="preserve">Station 2 (7.4; Lösung dazu 7.5.) ist eine Multiple-Choice-Aufgabe, die dazu dienen soll, das in den Infoblättern Gelesene individuell abzuprüfen, </w:t>
      </w:r>
      <w:r w:rsidR="000447E6">
        <w:rPr>
          <w:sz w:val="22"/>
        </w:rPr>
        <w:t xml:space="preserve">was </w:t>
      </w:r>
      <w:r>
        <w:rPr>
          <w:sz w:val="22"/>
        </w:rPr>
        <w:t xml:space="preserve">die </w:t>
      </w:r>
      <w:r w:rsidR="00BE5738">
        <w:rPr>
          <w:sz w:val="22"/>
        </w:rPr>
        <w:t>Schülerinnen und Schüler</w:t>
      </w:r>
      <w:r w:rsidR="000447E6">
        <w:rPr>
          <w:sz w:val="22"/>
        </w:rPr>
        <w:t xml:space="preserve"> ggf. dazu bringen soll</w:t>
      </w:r>
      <w:r w:rsidR="00C3252C">
        <w:rPr>
          <w:sz w:val="22"/>
        </w:rPr>
        <w:t>,</w:t>
      </w:r>
      <w:r>
        <w:rPr>
          <w:sz w:val="22"/>
        </w:rPr>
        <w:t xml:space="preserve"> nochmal</w:t>
      </w:r>
      <w:r w:rsidR="000447E6">
        <w:rPr>
          <w:sz w:val="22"/>
        </w:rPr>
        <w:t>s</w:t>
      </w:r>
      <w:r>
        <w:rPr>
          <w:sz w:val="22"/>
        </w:rPr>
        <w:t xml:space="preserve"> genauer nachzulesen.</w:t>
      </w:r>
    </w:p>
    <w:p w:rsidR="00CD4272" w:rsidRPr="0033011A" w:rsidRDefault="0009511B" w:rsidP="00CD4272">
      <w:pPr>
        <w:spacing w:after="120"/>
      </w:pPr>
      <w:r>
        <w:rPr>
          <w:sz w:val="22"/>
        </w:rPr>
        <w:t>Station 3 (7.6.) ist ähnlich aufgebaut wie Station 1, besteht auch aus Fragen, die beantwortet werden müssen, es müssen aber zusätzlich zu den Infoblättern auch die Materialien des statistischen Bundesamtes und des Bundesfamilienministeriums ausgewertet werden.</w:t>
      </w:r>
      <w:r w:rsidR="00CD4272">
        <w:rPr>
          <w:sz w:val="22"/>
        </w:rPr>
        <w:br/>
      </w:r>
      <w:r w:rsidR="00CD4272" w:rsidRPr="00C3252C">
        <w:rPr>
          <w:i/>
          <w:sz w:val="22"/>
        </w:rPr>
        <w:t>(Materialien: „Arbeitslosigkeit Hauptauslöser für private Überschuldung 2011“, Pressemitte</w:t>
      </w:r>
      <w:r w:rsidR="00CD4272" w:rsidRPr="00C3252C">
        <w:rPr>
          <w:i/>
          <w:sz w:val="22"/>
        </w:rPr>
        <w:t>i</w:t>
      </w:r>
      <w:r w:rsidR="00CD4272" w:rsidRPr="00C3252C">
        <w:rPr>
          <w:i/>
          <w:sz w:val="22"/>
        </w:rPr>
        <w:t xml:space="preserve">lung vom 17. Januar 2013 – 21/13; Statistisches Bundesamt </w:t>
      </w:r>
      <w:hyperlink r:id="rId8" w:history="1">
        <w:r w:rsidR="00BE5738" w:rsidRPr="00694C59">
          <w:rPr>
            <w:rStyle w:val="Hyperlink"/>
            <w:i/>
            <w:sz w:val="22"/>
          </w:rPr>
          <w:t>www.destatis.de/DE/PresseService/Presse/Pressemitteilungen/2013/01/PD13_021_635.html</w:t>
        </w:r>
      </w:hyperlink>
      <w:r w:rsidR="00CD4272" w:rsidRPr="00C3252C">
        <w:rPr>
          <w:i/>
          <w:sz w:val="22"/>
        </w:rPr>
        <w:t>; Hauptauslöser der Überschuldung – Staat und Gesellschaft – Vermögen, Schulden; Stati</w:t>
      </w:r>
      <w:r w:rsidR="00CD4272" w:rsidRPr="00C3252C">
        <w:rPr>
          <w:i/>
          <w:sz w:val="22"/>
        </w:rPr>
        <w:t>s</w:t>
      </w:r>
      <w:r w:rsidR="00CD4272" w:rsidRPr="00C3252C">
        <w:rPr>
          <w:i/>
          <w:sz w:val="22"/>
        </w:rPr>
        <w:t xml:space="preserve">tisches Bundesamt, Wiesbaden 2012 </w:t>
      </w:r>
      <w:hyperlink r:id="rId9" w:history="1">
        <w:r w:rsidR="00BE5738" w:rsidRPr="00694C59">
          <w:rPr>
            <w:rStyle w:val="Hyperlink"/>
            <w:i/>
            <w:sz w:val="22"/>
          </w:rPr>
          <w:t>www.destatis.de/DE/ZahlenFakten/GesellschaftStaat/EinkommenKonsumLebensbedingungen/VermoegenSchulden/Tabellen/Ueberschuldung.html</w:t>
        </w:r>
      </w:hyperlink>
      <w:r w:rsidR="00CD4272" w:rsidRPr="00C3252C">
        <w:rPr>
          <w:rStyle w:val="Hyperlink"/>
          <w:i/>
          <w:sz w:val="22"/>
        </w:rPr>
        <w:t xml:space="preserve">; </w:t>
      </w:r>
      <w:r w:rsidR="00CD4272" w:rsidRPr="00C3252C">
        <w:rPr>
          <w:i/>
          <w:sz w:val="22"/>
        </w:rPr>
        <w:t>Materialien zur Familienpolitik: L</w:t>
      </w:r>
      <w:r w:rsidR="00CD4272" w:rsidRPr="00C3252C">
        <w:rPr>
          <w:i/>
          <w:sz w:val="22"/>
        </w:rPr>
        <w:t>e</w:t>
      </w:r>
      <w:r w:rsidR="00CD4272" w:rsidRPr="00C3252C">
        <w:rPr>
          <w:i/>
          <w:sz w:val="22"/>
        </w:rPr>
        <w:t xml:space="preserve">benslagen von Familien und Kindern – Überschuldung privater Haushalte </w:t>
      </w:r>
      <w:hyperlink r:id="rId10" w:history="1">
        <w:r w:rsidR="00BE5738" w:rsidRPr="00694C59">
          <w:rPr>
            <w:rStyle w:val="Hyperlink"/>
            <w:i/>
            <w:sz w:val="22"/>
          </w:rPr>
          <w:t xml:space="preserve">www.bmfsfj.de/RedaktionBMFSFJ/Internetredaktion/Pdf-Anlagen/armutsbericht- </w:t>
        </w:r>
        <w:proofErr w:type="spellStart"/>
        <w:r w:rsidR="00BE5738" w:rsidRPr="00694C59">
          <w:rPr>
            <w:rStyle w:val="Hyperlink"/>
            <w:i/>
            <w:sz w:val="22"/>
          </w:rPr>
          <w:t>materi</w:t>
        </w:r>
        <w:r w:rsidR="00BE5738" w:rsidRPr="00694C59">
          <w:rPr>
            <w:rStyle w:val="Hyperlink"/>
            <w:i/>
            <w:sz w:val="22"/>
          </w:rPr>
          <w:t>a</w:t>
        </w:r>
        <w:r w:rsidR="00BE5738" w:rsidRPr="00694C59">
          <w:rPr>
            <w:rStyle w:val="Hyperlink"/>
            <w:i/>
            <w:sz w:val="22"/>
          </w:rPr>
          <w:t>lien,property</w:t>
        </w:r>
        <w:proofErr w:type="spellEnd"/>
        <w:r w:rsidR="00BE5738" w:rsidRPr="00694C59">
          <w:rPr>
            <w:rStyle w:val="Hyperlink"/>
            <w:i/>
            <w:sz w:val="22"/>
          </w:rPr>
          <w:t>=</w:t>
        </w:r>
        <w:proofErr w:type="spellStart"/>
        <w:r w:rsidR="00BE5738" w:rsidRPr="00694C59">
          <w:rPr>
            <w:rStyle w:val="Hyperlink"/>
            <w:i/>
            <w:sz w:val="22"/>
          </w:rPr>
          <w:t>pdf,bereich</w:t>
        </w:r>
        <w:proofErr w:type="spellEnd"/>
        <w:r w:rsidR="00BE5738" w:rsidRPr="00694C59">
          <w:rPr>
            <w:rStyle w:val="Hyperlink"/>
            <w:i/>
            <w:sz w:val="22"/>
          </w:rPr>
          <w:t>=</w:t>
        </w:r>
        <w:proofErr w:type="spellStart"/>
        <w:r w:rsidR="00BE5738" w:rsidRPr="00694C59">
          <w:rPr>
            <w:rStyle w:val="Hyperlink"/>
            <w:i/>
            <w:sz w:val="22"/>
          </w:rPr>
          <w:t>bmfsfj,sprache</w:t>
        </w:r>
        <w:proofErr w:type="spellEnd"/>
        <w:r w:rsidR="00BE5738" w:rsidRPr="00694C59">
          <w:rPr>
            <w:rStyle w:val="Hyperlink"/>
            <w:i/>
            <w:sz w:val="22"/>
          </w:rPr>
          <w:t>=</w:t>
        </w:r>
        <w:proofErr w:type="spellStart"/>
        <w:r w:rsidR="00BE5738" w:rsidRPr="00694C59">
          <w:rPr>
            <w:rStyle w:val="Hyperlink"/>
            <w:i/>
            <w:sz w:val="22"/>
          </w:rPr>
          <w:t>de,rwb</w:t>
        </w:r>
        <w:proofErr w:type="spellEnd"/>
        <w:r w:rsidR="00BE5738" w:rsidRPr="00694C59">
          <w:rPr>
            <w:rStyle w:val="Hyperlink"/>
            <w:i/>
            <w:sz w:val="22"/>
          </w:rPr>
          <w:t>=true.pdf</w:t>
        </w:r>
      </w:hyperlink>
      <w:r w:rsidR="00CD4272">
        <w:rPr>
          <w:sz w:val="22"/>
        </w:rPr>
        <w:t>)</w:t>
      </w:r>
    </w:p>
    <w:p w:rsidR="0009511B" w:rsidRDefault="0009511B" w:rsidP="006F6445">
      <w:pPr>
        <w:spacing w:after="120"/>
        <w:rPr>
          <w:sz w:val="22"/>
        </w:rPr>
      </w:pPr>
      <w:r>
        <w:rPr>
          <w:sz w:val="22"/>
        </w:rPr>
        <w:t xml:space="preserve">Station 4 (7.7.) greift das zuvor </w:t>
      </w:r>
      <w:r w:rsidR="000447E6">
        <w:rPr>
          <w:sz w:val="22"/>
        </w:rPr>
        <w:t xml:space="preserve">im Unterricht schon </w:t>
      </w:r>
      <w:r w:rsidR="00C3252C">
        <w:rPr>
          <w:sz w:val="22"/>
        </w:rPr>
        <w:t>behandelte Haushaltsbuch auf.</w:t>
      </w:r>
      <w:r>
        <w:rPr>
          <w:sz w:val="22"/>
        </w:rPr>
        <w:t xml:space="preserve"> Die </w:t>
      </w:r>
      <w:r w:rsidR="00BE5738">
        <w:rPr>
          <w:sz w:val="22"/>
        </w:rPr>
        <w:t>Schülerinnen und Schüler</w:t>
      </w:r>
      <w:r>
        <w:rPr>
          <w:sz w:val="22"/>
        </w:rPr>
        <w:t xml:space="preserve"> sollen an einem konkreten Zahlenbeispiel berechnen, ob ein Ve</w:t>
      </w:r>
      <w:r>
        <w:rPr>
          <w:sz w:val="22"/>
        </w:rPr>
        <w:t>r</w:t>
      </w:r>
      <w:r>
        <w:rPr>
          <w:sz w:val="22"/>
        </w:rPr>
        <w:t>braucher e</w:t>
      </w:r>
      <w:r>
        <w:rPr>
          <w:sz w:val="22"/>
        </w:rPr>
        <w:t>i</w:t>
      </w:r>
      <w:r>
        <w:rPr>
          <w:sz w:val="22"/>
        </w:rPr>
        <w:t>nen K</w:t>
      </w:r>
      <w:r w:rsidR="00BE5738">
        <w:rPr>
          <w:sz w:val="22"/>
        </w:rPr>
        <w:t>redit aufnehmen kann oder nicht</w:t>
      </w:r>
      <w:r>
        <w:rPr>
          <w:sz w:val="22"/>
        </w:rPr>
        <w:t xml:space="preserve"> bzw. ob er bei Kreditaufnahme Gefahr läuft, in die Schuldenfalle zu geraten.</w:t>
      </w:r>
    </w:p>
    <w:p w:rsidR="0009511B" w:rsidRDefault="0009511B" w:rsidP="006F6445">
      <w:pPr>
        <w:spacing w:after="120"/>
        <w:rPr>
          <w:sz w:val="22"/>
        </w:rPr>
      </w:pPr>
      <w:r>
        <w:rPr>
          <w:sz w:val="22"/>
        </w:rPr>
        <w:t>Station 5 ist eine Multiple-Choice-Aufgabe, die alle</w:t>
      </w:r>
      <w:r w:rsidR="000447E6">
        <w:rPr>
          <w:sz w:val="22"/>
        </w:rPr>
        <w:t xml:space="preserve"> schon bearbeiteten</w:t>
      </w:r>
      <w:r>
        <w:rPr>
          <w:sz w:val="22"/>
        </w:rPr>
        <w:t xml:space="preserve"> Infomaterialen zum Thema </w:t>
      </w:r>
      <w:r w:rsidR="000447E6">
        <w:rPr>
          <w:sz w:val="22"/>
        </w:rPr>
        <w:t xml:space="preserve">hat und die </w:t>
      </w:r>
      <w:r w:rsidR="00BE5738">
        <w:rPr>
          <w:sz w:val="22"/>
        </w:rPr>
        <w:t>Schülerinnen und Schüler</w:t>
      </w:r>
      <w:r w:rsidR="000447E6">
        <w:rPr>
          <w:sz w:val="22"/>
        </w:rPr>
        <w:t xml:space="preserve"> </w:t>
      </w:r>
      <w:r>
        <w:rPr>
          <w:sz w:val="22"/>
        </w:rPr>
        <w:t xml:space="preserve">dazu </w:t>
      </w:r>
      <w:r w:rsidR="000447E6">
        <w:rPr>
          <w:sz w:val="22"/>
        </w:rPr>
        <w:t>anregen</w:t>
      </w:r>
      <w:r>
        <w:rPr>
          <w:sz w:val="22"/>
        </w:rPr>
        <w:t xml:space="preserve"> soll</w:t>
      </w:r>
      <w:r w:rsidR="00C3252C">
        <w:rPr>
          <w:sz w:val="22"/>
        </w:rPr>
        <w:t>,</w:t>
      </w:r>
      <w:r>
        <w:rPr>
          <w:sz w:val="22"/>
        </w:rPr>
        <w:t xml:space="preserve"> über das Gelesene zu di</w:t>
      </w:r>
      <w:r>
        <w:rPr>
          <w:sz w:val="22"/>
        </w:rPr>
        <w:t>s</w:t>
      </w:r>
      <w:r>
        <w:rPr>
          <w:sz w:val="22"/>
        </w:rPr>
        <w:t>kutieren</w:t>
      </w:r>
      <w:r w:rsidR="000447E6">
        <w:rPr>
          <w:sz w:val="22"/>
        </w:rPr>
        <w:t>, d.</w:t>
      </w:r>
      <w:r w:rsidR="00BE5738">
        <w:rPr>
          <w:sz w:val="22"/>
        </w:rPr>
        <w:t xml:space="preserve"> </w:t>
      </w:r>
      <w:r w:rsidR="000447E6">
        <w:rPr>
          <w:sz w:val="22"/>
        </w:rPr>
        <w:t>h. diese Station sollte in der Gruppe gemeinsam bearbeitet werden</w:t>
      </w:r>
      <w:r>
        <w:rPr>
          <w:sz w:val="22"/>
        </w:rPr>
        <w:t>.</w:t>
      </w:r>
    </w:p>
    <w:p w:rsidR="0009511B" w:rsidRDefault="0009511B" w:rsidP="006F6445">
      <w:pPr>
        <w:spacing w:after="120"/>
        <w:rPr>
          <w:sz w:val="22"/>
        </w:rPr>
      </w:pPr>
      <w:r>
        <w:rPr>
          <w:sz w:val="22"/>
        </w:rPr>
        <w:t>Station 6</w:t>
      </w:r>
      <w:r w:rsidR="00192938">
        <w:rPr>
          <w:sz w:val="22"/>
        </w:rPr>
        <w:t xml:space="preserve"> ist als Wortsuchrätsel aufgebaut und soll insbesondere dazu </w:t>
      </w:r>
      <w:r w:rsidR="008051B6">
        <w:rPr>
          <w:sz w:val="22"/>
        </w:rPr>
        <w:t>beitragen</w:t>
      </w:r>
      <w:r w:rsidR="00192938">
        <w:rPr>
          <w:sz w:val="22"/>
        </w:rPr>
        <w:t xml:space="preserve">, dass die </w:t>
      </w:r>
      <w:r w:rsidR="00BE5738">
        <w:rPr>
          <w:sz w:val="22"/>
        </w:rPr>
        <w:t>Schülerinnen und Schüler</w:t>
      </w:r>
      <w:r w:rsidR="00192938">
        <w:rPr>
          <w:sz w:val="22"/>
        </w:rPr>
        <w:t xml:space="preserve"> die Lust am Arbeiten nicht verlieren.</w:t>
      </w:r>
    </w:p>
    <w:p w:rsidR="00192938" w:rsidRDefault="00C3252C" w:rsidP="006F6445">
      <w:pPr>
        <w:spacing w:after="120"/>
        <w:rPr>
          <w:sz w:val="22"/>
        </w:rPr>
      </w:pPr>
      <w:r>
        <w:rPr>
          <w:sz w:val="22"/>
        </w:rPr>
        <w:lastRenderedPageBreak/>
        <w:t>Wichtig ist</w:t>
      </w:r>
      <w:r w:rsidR="00192938">
        <w:rPr>
          <w:sz w:val="22"/>
        </w:rPr>
        <w:t xml:space="preserve"> darauf hinzuweisen, dass die </w:t>
      </w:r>
      <w:r w:rsidR="00BE5738">
        <w:rPr>
          <w:sz w:val="22"/>
        </w:rPr>
        <w:t>Schülerinnen und Schüler</w:t>
      </w:r>
      <w:r w:rsidR="00192938">
        <w:rPr>
          <w:sz w:val="22"/>
        </w:rPr>
        <w:t xml:space="preserve"> jeweils nach Abschluss einer Station ihre Lösung mit den Musterlösungen vergleichen, damit sich keine Fehler ei</w:t>
      </w:r>
      <w:r w:rsidR="00192938">
        <w:rPr>
          <w:sz w:val="22"/>
        </w:rPr>
        <w:t>n</w:t>
      </w:r>
      <w:r w:rsidR="00192938">
        <w:rPr>
          <w:sz w:val="22"/>
        </w:rPr>
        <w:t>schleichen.</w:t>
      </w:r>
    </w:p>
    <w:p w:rsidR="00A42CCA" w:rsidRDefault="00A42CCA" w:rsidP="00A42CCA">
      <w:pPr>
        <w:pStyle w:val="Kopfzeile"/>
        <w:tabs>
          <w:tab w:val="clear" w:pos="4536"/>
          <w:tab w:val="clear" w:pos="9072"/>
        </w:tabs>
        <w:spacing w:after="120"/>
        <w:rPr>
          <w:rFonts w:cs="Arial"/>
          <w:sz w:val="22"/>
          <w:szCs w:val="22"/>
        </w:rPr>
      </w:pPr>
      <w:r>
        <w:rPr>
          <w:rFonts w:cs="Arial"/>
          <w:sz w:val="22"/>
          <w:szCs w:val="22"/>
        </w:rPr>
        <w:t xml:space="preserve">In der auf den </w:t>
      </w:r>
      <w:r w:rsidRPr="00EA5534">
        <w:rPr>
          <w:rFonts w:cs="Arial"/>
          <w:sz w:val="22"/>
          <w:szCs w:val="22"/>
        </w:rPr>
        <w:t xml:space="preserve">Lernzirkel </w:t>
      </w:r>
      <w:r>
        <w:rPr>
          <w:rFonts w:cs="Arial"/>
          <w:sz w:val="22"/>
          <w:szCs w:val="22"/>
        </w:rPr>
        <w:t xml:space="preserve">folgenden Stunde </w:t>
      </w:r>
      <w:r w:rsidRPr="00EA5534">
        <w:rPr>
          <w:rFonts w:cs="Arial"/>
          <w:sz w:val="22"/>
          <w:szCs w:val="22"/>
        </w:rPr>
        <w:t>bietet es sich an</w:t>
      </w:r>
      <w:r w:rsidR="00C3252C">
        <w:rPr>
          <w:rFonts w:cs="Arial"/>
          <w:sz w:val="22"/>
          <w:szCs w:val="22"/>
        </w:rPr>
        <w:t>,</w:t>
      </w:r>
      <w:r w:rsidRPr="00EA5534">
        <w:rPr>
          <w:rFonts w:cs="Arial"/>
          <w:sz w:val="22"/>
          <w:szCs w:val="22"/>
        </w:rPr>
        <w:t xml:space="preserve"> mit Hilfe eines Kurztests </w:t>
      </w:r>
      <w:r>
        <w:rPr>
          <w:rFonts w:cs="Arial"/>
          <w:sz w:val="22"/>
          <w:szCs w:val="22"/>
        </w:rPr>
        <w:t xml:space="preserve">(7.11.) </w:t>
      </w:r>
      <w:r w:rsidRPr="00EA5534">
        <w:rPr>
          <w:rFonts w:cs="Arial"/>
          <w:sz w:val="22"/>
          <w:szCs w:val="22"/>
        </w:rPr>
        <w:t>zu überprüfen, inwieweit d</w:t>
      </w:r>
      <w:r>
        <w:rPr>
          <w:rFonts w:cs="Arial"/>
          <w:sz w:val="22"/>
          <w:szCs w:val="22"/>
        </w:rPr>
        <w:t>ie Inhalte des</w:t>
      </w:r>
      <w:r w:rsidRPr="00EA5534">
        <w:rPr>
          <w:rFonts w:cs="Arial"/>
          <w:sz w:val="22"/>
          <w:szCs w:val="22"/>
        </w:rPr>
        <w:t xml:space="preserve"> Lernzirkel</w:t>
      </w:r>
      <w:r>
        <w:rPr>
          <w:rFonts w:cs="Arial"/>
          <w:sz w:val="22"/>
          <w:szCs w:val="22"/>
        </w:rPr>
        <w:t>s</w:t>
      </w:r>
      <w:r w:rsidRPr="00EA5534">
        <w:rPr>
          <w:rFonts w:cs="Arial"/>
          <w:sz w:val="22"/>
          <w:szCs w:val="22"/>
        </w:rPr>
        <w:t xml:space="preserve"> verstanden</w:t>
      </w:r>
      <w:r>
        <w:rPr>
          <w:rFonts w:cs="Arial"/>
          <w:sz w:val="22"/>
          <w:szCs w:val="22"/>
        </w:rPr>
        <w:t xml:space="preserve"> und behalten</w:t>
      </w:r>
      <w:r w:rsidRPr="00EA5534">
        <w:rPr>
          <w:rFonts w:cs="Arial"/>
          <w:sz w:val="22"/>
          <w:szCs w:val="22"/>
        </w:rPr>
        <w:t xml:space="preserve"> wurde</w:t>
      </w:r>
      <w:r>
        <w:rPr>
          <w:rFonts w:cs="Arial"/>
          <w:sz w:val="22"/>
          <w:szCs w:val="22"/>
        </w:rPr>
        <w:t>n</w:t>
      </w:r>
      <w:r w:rsidRPr="00EA5534">
        <w:rPr>
          <w:rFonts w:cs="Arial"/>
          <w:sz w:val="22"/>
          <w:szCs w:val="22"/>
        </w:rPr>
        <w:t xml:space="preserve">. </w:t>
      </w:r>
    </w:p>
    <w:p w:rsidR="008051B6" w:rsidRDefault="008051B6" w:rsidP="00A42CCA">
      <w:pPr>
        <w:pStyle w:val="Kopfzeile"/>
        <w:tabs>
          <w:tab w:val="clear" w:pos="4536"/>
          <w:tab w:val="clear" w:pos="9072"/>
        </w:tabs>
        <w:spacing w:after="120"/>
        <w:rPr>
          <w:rFonts w:cs="Arial"/>
          <w:sz w:val="22"/>
          <w:szCs w:val="22"/>
        </w:rPr>
      </w:pPr>
      <w:r>
        <w:rPr>
          <w:rFonts w:cs="Arial"/>
          <w:sz w:val="22"/>
          <w:szCs w:val="22"/>
        </w:rPr>
        <w:t>In jedem Fall hat der Lehrer</w:t>
      </w:r>
      <w:r w:rsidR="00BE5738">
        <w:rPr>
          <w:rFonts w:cs="Arial"/>
          <w:sz w:val="22"/>
          <w:szCs w:val="22"/>
        </w:rPr>
        <w:t xml:space="preserve"> oder </w:t>
      </w:r>
      <w:bookmarkStart w:id="0" w:name="_GoBack"/>
      <w:bookmarkEnd w:id="0"/>
      <w:r>
        <w:rPr>
          <w:rFonts w:cs="Arial"/>
          <w:sz w:val="22"/>
          <w:szCs w:val="22"/>
        </w:rPr>
        <w:t>die Lehrerin während des Lernzirkel</w:t>
      </w:r>
      <w:r w:rsidR="00A7378C">
        <w:rPr>
          <w:rFonts w:cs="Arial"/>
          <w:sz w:val="22"/>
          <w:szCs w:val="22"/>
        </w:rPr>
        <w:t>s</w:t>
      </w:r>
      <w:r>
        <w:rPr>
          <w:rFonts w:cs="Arial"/>
          <w:sz w:val="22"/>
          <w:szCs w:val="22"/>
        </w:rPr>
        <w:t xml:space="preserve"> eher beobachtende und unterstützende Funktion.</w:t>
      </w:r>
    </w:p>
    <w:p w:rsidR="00A42CCA" w:rsidRPr="00A42CCA" w:rsidRDefault="00A42CCA" w:rsidP="00A42CCA">
      <w:pPr>
        <w:pStyle w:val="Kopfzeile"/>
        <w:tabs>
          <w:tab w:val="clear" w:pos="4536"/>
          <w:tab w:val="clear" w:pos="9072"/>
        </w:tabs>
        <w:spacing w:after="120"/>
        <w:rPr>
          <w:rFonts w:cs="Arial"/>
          <w:sz w:val="22"/>
          <w:szCs w:val="22"/>
        </w:rPr>
      </w:pPr>
    </w:p>
    <w:sectPr w:rsidR="00A42CCA" w:rsidRPr="00A42CCA" w:rsidSect="001E03DE">
      <w:headerReference w:type="first" r:id="rId11"/>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405" w:rsidRDefault="00A47405" w:rsidP="001E03DE">
      <w:r>
        <w:separator/>
      </w:r>
    </w:p>
  </w:endnote>
  <w:endnote w:type="continuationSeparator" w:id="0">
    <w:p w:rsidR="00A47405" w:rsidRDefault="00A47405"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405" w:rsidRDefault="00A47405" w:rsidP="001E03DE">
      <w:r>
        <w:separator/>
      </w:r>
    </w:p>
  </w:footnote>
  <w:footnote w:type="continuationSeparator" w:id="0">
    <w:p w:rsidR="00A47405" w:rsidRDefault="00A47405"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45" w:rsidRDefault="006F6445">
    <w:pPr>
      <w:pStyle w:val="Kopfzeile"/>
    </w:pPr>
    <w:r>
      <w:t>Lernzirkel</w:t>
    </w:r>
    <w:r>
      <w:tab/>
    </w:r>
    <w:r>
      <w:tab/>
      <w:t>Verschuldung</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B395D"/>
    <w:multiLevelType w:val="hybridMultilevel"/>
    <w:tmpl w:val="EBEC680A"/>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405"/>
    <w:rsid w:val="000447E6"/>
    <w:rsid w:val="0009511B"/>
    <w:rsid w:val="001757B9"/>
    <w:rsid w:val="00192938"/>
    <w:rsid w:val="001A2103"/>
    <w:rsid w:val="001E03DE"/>
    <w:rsid w:val="002223B8"/>
    <w:rsid w:val="00296589"/>
    <w:rsid w:val="0044650F"/>
    <w:rsid w:val="006F6445"/>
    <w:rsid w:val="00713249"/>
    <w:rsid w:val="008051B6"/>
    <w:rsid w:val="008A7911"/>
    <w:rsid w:val="009533B3"/>
    <w:rsid w:val="009935DA"/>
    <w:rsid w:val="009C05F9"/>
    <w:rsid w:val="00A42CCA"/>
    <w:rsid w:val="00A47405"/>
    <w:rsid w:val="00A7378C"/>
    <w:rsid w:val="00BE5738"/>
    <w:rsid w:val="00C22DA6"/>
    <w:rsid w:val="00C3252C"/>
    <w:rsid w:val="00CD4272"/>
    <w:rsid w:val="00CD6932"/>
    <w:rsid w:val="00F44A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paragraph" w:styleId="KeinLeerraum">
    <w:name w:val="No Spacing"/>
    <w:qFormat/>
    <w:rsid w:val="00CD4272"/>
    <w:pPr>
      <w:spacing w:line="240" w:lineRule="auto"/>
    </w:pPr>
    <w:rPr>
      <w:rFonts w:ascii="Calibri" w:eastAsia="Calibri" w:hAnsi="Calibri" w:cs="Times New Roman"/>
      <w:sz w:val="22"/>
    </w:rPr>
  </w:style>
  <w:style w:type="character" w:styleId="Hyperlink">
    <w:name w:val="Hyperlink"/>
    <w:unhideWhenUsed/>
    <w:rsid w:val="00CD42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paragraph" w:styleId="KeinLeerraum">
    <w:name w:val="No Spacing"/>
    <w:qFormat/>
    <w:rsid w:val="00CD4272"/>
    <w:pPr>
      <w:spacing w:line="240" w:lineRule="auto"/>
    </w:pPr>
    <w:rPr>
      <w:rFonts w:ascii="Calibri" w:eastAsia="Calibri" w:hAnsi="Calibri" w:cs="Times New Roman"/>
      <w:sz w:val="22"/>
    </w:rPr>
  </w:style>
  <w:style w:type="character" w:styleId="Hyperlink">
    <w:name w:val="Hyperlink"/>
    <w:unhideWhenUsed/>
    <w:rsid w:val="00CD42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tatis.de/DE/PresseService/Presse/Pressemitteilungen/2013/01/PD13_021_635.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mfsfj.de/RedaktionBMFSFJ/Internetredaktion/Pdf-Anlagen/armutsbericht-%20materialien,property=pdf,bereich=bmfsfj,sprache=de,rwb=true.pdf" TargetMode="External"/><Relationship Id="rId4" Type="http://schemas.openxmlformats.org/officeDocument/2006/relationships/settings" Target="settings.xml"/><Relationship Id="rId9" Type="http://schemas.openxmlformats.org/officeDocument/2006/relationships/hyperlink" Target="http://www.destatis.de/DE/ZahlenFakten/GesellschaftStaat/EinkommenKonsumLebensbedingungen/VermoegenSchulden/Tabellen/Ueberschuldung.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3995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Landesinstitut für Schulentwicklung (HK2-FB4)</dc:creator>
  <cp:keywords/>
  <dc:description/>
  <cp:lastModifiedBy>Herrmann, Dirk (LS)</cp:lastModifiedBy>
  <cp:revision>9</cp:revision>
  <dcterms:created xsi:type="dcterms:W3CDTF">2013-03-19T13:14:00Z</dcterms:created>
  <dcterms:modified xsi:type="dcterms:W3CDTF">2013-06-05T09:27:00Z</dcterms:modified>
</cp:coreProperties>
</file>