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B3405" w14:textId="0A686A89" w:rsidR="00906D7C" w:rsidRPr="00731CC7" w:rsidRDefault="00513981" w:rsidP="00513981">
      <w:pPr>
        <w:pStyle w:val="BPberschrift3"/>
        <w:numPr>
          <w:ilvl w:val="0"/>
          <w:numId w:val="0"/>
        </w:numPr>
        <w:ind w:left="720" w:hanging="720"/>
      </w:pPr>
      <w:bookmarkStart w:id="0" w:name="_Toc387138291"/>
      <w:bookmarkStart w:id="1" w:name="_Toc291229020"/>
      <w:r>
        <w:t xml:space="preserve">3.1.4 </w:t>
      </w:r>
      <w:bookmarkEnd w:id="0"/>
      <w:bookmarkEnd w:id="1"/>
      <w:r w:rsidR="008C38C8">
        <w:t>Menschenwü</w:t>
      </w:r>
      <w:bookmarkStart w:id="2" w:name="_GoBack"/>
      <w:bookmarkEnd w:id="2"/>
      <w:r w:rsidR="008C38C8">
        <w:t>rdiges Leben in Armut und Reichtum</w:t>
      </w:r>
    </w:p>
    <w:p w14:paraId="32E77EB5" w14:textId="77777777" w:rsidR="00906D7C" w:rsidRPr="00731CC7" w:rsidRDefault="00906D7C" w:rsidP="00906D7C">
      <w:pPr>
        <w:pStyle w:val="BPIKKompetenzBeschreibung"/>
      </w:pPr>
      <w:r w:rsidRPr="00731CC7">
        <w:t xml:space="preserve">Die Schülerinnen und Schüler können Armut und Reichtum im Hinblick auf die Möglichkeiten eines </w:t>
      </w:r>
      <w:r w:rsidRPr="00D24984">
        <w:rPr>
          <w:highlight w:val="yellow"/>
        </w:rPr>
        <w:t>selbstbestimmten</w:t>
      </w:r>
      <w:r w:rsidR="005C51D6">
        <w:rPr>
          <w:rStyle w:val="Funotenzeichen"/>
          <w:highlight w:val="yellow"/>
        </w:rPr>
        <w:footnoteReference w:id="1"/>
      </w:r>
      <w:r w:rsidRPr="00731CC7">
        <w:t xml:space="preserve"> Lebens </w:t>
      </w:r>
      <w:r w:rsidRPr="0024537E">
        <w:t xml:space="preserve">altersangemessen </w:t>
      </w:r>
      <w:r w:rsidRPr="00731CC7">
        <w:t xml:space="preserve">analysieren und die Bedeutung der Einhaltung der Menschenrechte für ein menschenwürdiges und </w:t>
      </w:r>
      <w:r w:rsidRPr="00D24984">
        <w:rPr>
          <w:highlight w:val="yellow"/>
        </w:rPr>
        <w:t>gerechtes</w:t>
      </w:r>
      <w:r w:rsidRPr="00731CC7">
        <w:t xml:space="preserve"> Leben erklären. Sie können verschiedene Möglichkeiten aufzeigen, sich für </w:t>
      </w:r>
      <w:r w:rsidRPr="00D24984">
        <w:rPr>
          <w:highlight w:val="yellow"/>
        </w:rPr>
        <w:t>gerechte</w:t>
      </w:r>
      <w:r w:rsidRPr="00731CC7">
        <w:t xml:space="preserve"> und menschenwürdige Lebensverhältnisse einzusetzen.</w:t>
      </w:r>
    </w:p>
    <w:p w14:paraId="75F4A5E4" w14:textId="77777777" w:rsidR="00906D7C" w:rsidRDefault="00906D7C" w:rsidP="00906D7C">
      <w:pPr>
        <w:pStyle w:val="BPIKKompetenzBeschreibung"/>
      </w:pPr>
      <w:r w:rsidRPr="00731CC7">
        <w:t>Die Schülerinnen und Schüler können</w:t>
      </w:r>
    </w:p>
    <w:tbl>
      <w:tblPr>
        <w:tblW w:w="9356" w:type="dxa"/>
        <w:tblInd w:w="1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E0" w:firstRow="1" w:lastRow="1" w:firstColumn="1" w:lastColumn="0" w:noHBand="0" w:noVBand="1"/>
      </w:tblPr>
      <w:tblGrid>
        <w:gridCol w:w="9356"/>
      </w:tblGrid>
      <w:tr w:rsidR="00906D7C" w:rsidRPr="002D5D18" w14:paraId="4E8252CB" w14:textId="77777777">
        <w:tc>
          <w:tcPr>
            <w:tcW w:w="9356" w:type="dxa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58D0840" w14:textId="77777777" w:rsidR="00906D7C" w:rsidRPr="00A0107B" w:rsidRDefault="00906D7C" w:rsidP="00513981">
            <w:pPr>
              <w:pStyle w:val="BPIKTeilkompetenzBeschreibung"/>
              <w:rPr>
                <w:color w:val="FF0000"/>
              </w:rPr>
            </w:pPr>
            <w:r w:rsidRPr="002D5D18">
              <w:t xml:space="preserve"> </w:t>
            </w:r>
            <w:r>
              <w:t xml:space="preserve">(1) </w:t>
            </w:r>
            <w:r w:rsidRPr="0024537E">
              <w:t xml:space="preserve">Erscheinungsformen von </w:t>
            </w:r>
            <w:r w:rsidRPr="00906D7C">
              <w:rPr>
                <w:rStyle w:val="BPIKTeilkompetenzkursiv"/>
                <w:i w:val="0"/>
              </w:rPr>
              <w:t>Armut</w:t>
            </w:r>
            <w:r w:rsidRPr="00906D7C">
              <w:rPr>
                <w:i/>
              </w:rPr>
              <w:t xml:space="preserve"> </w:t>
            </w:r>
            <w:r w:rsidRPr="00246F77">
              <w:t>und</w:t>
            </w:r>
            <w:r w:rsidRPr="00906D7C">
              <w:rPr>
                <w:i/>
              </w:rPr>
              <w:t xml:space="preserve"> </w:t>
            </w:r>
            <w:r w:rsidRPr="00906D7C">
              <w:rPr>
                <w:rStyle w:val="BPIKTeilkompetenzkursiv"/>
                <w:i w:val="0"/>
              </w:rPr>
              <w:t>Reichtum</w:t>
            </w:r>
            <w:r w:rsidRPr="0024537E">
              <w:t xml:space="preserve"> </w:t>
            </w:r>
            <w:r w:rsidR="00513981">
              <w:t>erfassen</w:t>
            </w:r>
            <w:r w:rsidRPr="0024537E">
              <w:t xml:space="preserve"> und beschreiben</w:t>
            </w:r>
          </w:p>
        </w:tc>
      </w:tr>
      <w:tr w:rsidR="00513981" w:rsidRPr="002D5D18" w14:paraId="7200BC1D" w14:textId="77777777">
        <w:tc>
          <w:tcPr>
            <w:tcW w:w="9356" w:type="dxa"/>
            <w:tcBorders>
              <w:top w:val="dashed" w:sz="4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8AF23E3" w14:textId="77777777" w:rsidR="00513981" w:rsidRPr="002D5D18" w:rsidRDefault="00513981" w:rsidP="00513981">
            <w:pPr>
              <w:pStyle w:val="BPVerweisLeitprinzip"/>
            </w:pPr>
            <w:r>
              <w:t>PG Ernährung</w:t>
            </w:r>
          </w:p>
        </w:tc>
      </w:tr>
      <w:tr w:rsidR="00906D7C" w:rsidRPr="002D5D18" w14:paraId="5433806D" w14:textId="77777777">
        <w:tc>
          <w:tcPr>
            <w:tcW w:w="9356" w:type="dxa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13DA018" w14:textId="77777777" w:rsidR="00906D7C" w:rsidRPr="002D5D18" w:rsidRDefault="00906D7C" w:rsidP="00513981">
            <w:pPr>
              <w:pStyle w:val="BPIKTeilkompetenzBeschreibung"/>
            </w:pPr>
            <w:r>
              <w:t>(2</w:t>
            </w:r>
            <w:r w:rsidRPr="002D5D18">
              <w:t>) unterschiedliche Auffassungen von Armut und Reichtum</w:t>
            </w:r>
            <w:r w:rsidRPr="0024537E">
              <w:t xml:space="preserve"> </w:t>
            </w:r>
            <w:r w:rsidR="00513981">
              <w:t>erläutern</w:t>
            </w:r>
            <w:r w:rsidRPr="002D5D18">
              <w:t xml:space="preserve"> und voneinander abgrenzen (beispielsweise </w:t>
            </w:r>
            <w:r w:rsidR="00513981">
              <w:t>Geschichte, Kulturen, Religionen</w:t>
            </w:r>
            <w:r w:rsidRPr="002D5D18">
              <w:t>)</w:t>
            </w:r>
          </w:p>
        </w:tc>
      </w:tr>
      <w:tr w:rsidR="00906D7C" w:rsidRPr="002D5D18" w14:paraId="6AA7189C" w14:textId="77777777">
        <w:tc>
          <w:tcPr>
            <w:tcW w:w="935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6D2A8EB" w14:textId="77777777" w:rsidR="00906D7C" w:rsidRPr="002D5D18" w:rsidRDefault="00906D7C" w:rsidP="00906D7C">
            <w:pPr>
              <w:pStyle w:val="BPIKTeilkompetenzBeschreibung"/>
            </w:pPr>
            <w:r>
              <w:t>(3</w:t>
            </w:r>
            <w:r w:rsidRPr="002D5D18">
              <w:t>) Ursa</w:t>
            </w:r>
            <w:r>
              <w:t xml:space="preserve">chen von Armut und Reichtum aus </w:t>
            </w:r>
            <w:r w:rsidRPr="0024537E">
              <w:t>verschiedenen</w:t>
            </w:r>
            <w:r>
              <w:rPr>
                <w:color w:val="0000FF"/>
              </w:rPr>
              <w:t xml:space="preserve"> </w:t>
            </w:r>
            <w:r w:rsidRPr="002D5D18">
              <w:t xml:space="preserve">Situationen </w:t>
            </w:r>
            <w:r w:rsidR="00513981">
              <w:t>herausarbeiten</w:t>
            </w:r>
          </w:p>
        </w:tc>
      </w:tr>
      <w:tr w:rsidR="00906D7C" w:rsidRPr="002D5D18" w14:paraId="5BBAE725" w14:textId="77777777">
        <w:tc>
          <w:tcPr>
            <w:tcW w:w="935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767FF53" w14:textId="77777777" w:rsidR="00906D7C" w:rsidRPr="002D5D18" w:rsidRDefault="00906D7C" w:rsidP="00906D7C">
            <w:pPr>
              <w:pStyle w:val="BPIKTeilkompetenzBeschreibung"/>
            </w:pPr>
            <w:r>
              <w:t>(4</w:t>
            </w:r>
            <w:r w:rsidRPr="002D5D18">
              <w:t xml:space="preserve">) Auswirkungen von Armut und Reichtum auf die Möglichkeiten eines </w:t>
            </w:r>
            <w:r w:rsidRPr="00D24984">
              <w:rPr>
                <w:highlight w:val="yellow"/>
              </w:rPr>
              <w:t>selbstbestimmten</w:t>
            </w:r>
            <w:r w:rsidRPr="00B87CB2">
              <w:t xml:space="preserve"> Lebens</w:t>
            </w:r>
            <w:r w:rsidRPr="002D5D18">
              <w:t xml:space="preserve"> beschreiben und </w:t>
            </w:r>
            <w:r w:rsidR="00513981">
              <w:t xml:space="preserve">im Hinblick auf </w:t>
            </w:r>
            <w:r w:rsidR="00513981" w:rsidRPr="00D24984">
              <w:rPr>
                <w:highlight w:val="yellow"/>
              </w:rPr>
              <w:t>Gerechtigkeitsvorstellungen</w:t>
            </w:r>
            <w:r w:rsidRPr="0024537E">
              <w:t xml:space="preserve"> </w:t>
            </w:r>
            <w:r w:rsidRPr="002D5D18">
              <w:t>beurteilen</w:t>
            </w:r>
          </w:p>
        </w:tc>
      </w:tr>
      <w:tr w:rsidR="00906D7C" w:rsidRPr="002D5D18" w14:paraId="0A9DE2D6" w14:textId="77777777">
        <w:tc>
          <w:tcPr>
            <w:tcW w:w="935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C426809" w14:textId="77777777" w:rsidR="00906D7C" w:rsidRPr="002D5D18" w:rsidRDefault="00906D7C" w:rsidP="00906D7C">
            <w:pPr>
              <w:pStyle w:val="BPVerweisLeitprinzip"/>
              <w:ind w:left="360" w:hanging="360"/>
            </w:pPr>
            <w:r w:rsidRPr="002D5D18">
              <w:t>BNE Bedeutung und Gefährdungen einer nachhaltigen Entwicklung</w:t>
            </w:r>
          </w:p>
        </w:tc>
      </w:tr>
      <w:tr w:rsidR="00906D7C" w:rsidRPr="002D5D18" w14:paraId="23085D49" w14:textId="77777777">
        <w:tc>
          <w:tcPr>
            <w:tcW w:w="93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613DCBE" w14:textId="77777777" w:rsidR="00906D7C" w:rsidRPr="002D5D18" w:rsidRDefault="00906D7C" w:rsidP="00906D7C">
            <w:pPr>
              <w:pStyle w:val="BPIKTeilkompetenzBeschreibung"/>
            </w:pPr>
            <w:r>
              <w:t>(5</w:t>
            </w:r>
            <w:r w:rsidRPr="002D5D18">
              <w:t xml:space="preserve">) grundlegende </w:t>
            </w:r>
            <w:r w:rsidRPr="00246F77">
              <w:rPr>
                <w:rStyle w:val="BPIKTeilkompetenzkursiv"/>
                <w:i w:val="0"/>
              </w:rPr>
              <w:t>Menschenrechte</w:t>
            </w:r>
            <w:r w:rsidRPr="00BA088B">
              <w:rPr>
                <w:rStyle w:val="BPIKTeilkompetenzkursiv"/>
              </w:rPr>
              <w:t xml:space="preserve"> </w:t>
            </w:r>
            <w:r w:rsidRPr="002D5D18">
              <w:t>benennen und die Relevanz ihrer Achtung für ein menschenwürdiges Leben erklären (zum Beispiel Kinderrechte)</w:t>
            </w:r>
          </w:p>
        </w:tc>
      </w:tr>
      <w:tr w:rsidR="00906D7C" w:rsidRPr="002D5D18" w14:paraId="09460102" w14:textId="77777777">
        <w:tc>
          <w:tcPr>
            <w:tcW w:w="9356" w:type="dxa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2EF8174" w14:textId="77777777" w:rsidR="00906D7C" w:rsidRPr="002D5D18" w:rsidRDefault="00906D7C" w:rsidP="00906D7C">
            <w:pPr>
              <w:pStyle w:val="BPIKTeilkompetenzBeschreibung"/>
            </w:pPr>
            <w:r>
              <w:t>(6)</w:t>
            </w:r>
            <w:r w:rsidRPr="002D5D18">
              <w:t xml:space="preserve"> Handlungsmöglichkeiten zur Sicherung menschenwürdiger und </w:t>
            </w:r>
            <w:r w:rsidRPr="00D24984">
              <w:rPr>
                <w:highlight w:val="yellow"/>
              </w:rPr>
              <w:t>gerechter</w:t>
            </w:r>
            <w:r w:rsidRPr="00B87CB2">
              <w:t xml:space="preserve"> Lebensverhältnisse</w:t>
            </w:r>
            <w:r w:rsidRPr="002D5D18">
              <w:t xml:space="preserve"> im eigenen Lebensumfeld darlegen und diskutieren (beispielsweise bezogen auf Konsum, soziales Engagement</w:t>
            </w:r>
            <w:r w:rsidR="00513981">
              <w:t>, Fair Trade</w:t>
            </w:r>
            <w:r w:rsidRPr="002D5D18">
              <w:t>)</w:t>
            </w:r>
          </w:p>
        </w:tc>
      </w:tr>
      <w:tr w:rsidR="00906D7C" w:rsidRPr="002D5D18" w14:paraId="10901BF0" w14:textId="77777777">
        <w:tc>
          <w:tcPr>
            <w:tcW w:w="9356" w:type="dxa"/>
            <w:tcBorders>
              <w:top w:val="dashed" w:sz="4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DA1503D" w14:textId="77777777" w:rsidR="00906D7C" w:rsidRPr="002D5D18" w:rsidRDefault="00906D7C" w:rsidP="00906D7C">
            <w:pPr>
              <w:pStyle w:val="BPVerweisLeitprinzip"/>
              <w:ind w:left="360" w:hanging="360"/>
            </w:pPr>
            <w:r w:rsidRPr="002D5D18">
              <w:t>VB Chancen und Risiken der Lebensführung</w:t>
            </w:r>
          </w:p>
        </w:tc>
      </w:tr>
      <w:tr w:rsidR="00906D7C" w:rsidRPr="002D5D18" w14:paraId="49726E70" w14:textId="77777777">
        <w:trPr>
          <w:trHeight w:val="630"/>
        </w:trPr>
        <w:tc>
          <w:tcPr>
            <w:tcW w:w="9356" w:type="dxa"/>
            <w:tcBorders>
              <w:top w:val="single" w:sz="2" w:space="0" w:color="auto"/>
            </w:tcBorders>
            <w:shd w:val="clear" w:color="auto" w:fill="auto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38C8F9F" w14:textId="77777777" w:rsidR="00976E1F" w:rsidRPr="002D5D18" w:rsidRDefault="00906D7C" w:rsidP="00976E1F">
            <w:pPr>
              <w:pStyle w:val="BPVerweisPK"/>
              <w:tabs>
                <w:tab w:val="num" w:pos="360"/>
                <w:tab w:val="num" w:pos="823"/>
              </w:tabs>
              <w:ind w:left="823" w:hanging="823"/>
            </w:pPr>
            <w:r w:rsidRPr="002D5D18">
              <w:t>2.2</w:t>
            </w:r>
            <w:r w:rsidRPr="002D5D18">
              <w:tab/>
            </w:r>
            <w:r w:rsidR="00976E1F" w:rsidRPr="002D5D18">
              <w:t>Analysieren und interpretieren</w:t>
            </w:r>
            <w:r w:rsidR="00513981">
              <w:t xml:space="preserve"> 1,2,3,5</w:t>
            </w:r>
          </w:p>
          <w:p w14:paraId="426E7A8A" w14:textId="77777777" w:rsidR="00976E1F" w:rsidRPr="002D5D18" w:rsidRDefault="00976E1F" w:rsidP="00976E1F">
            <w:pPr>
              <w:pStyle w:val="BPVerweisPK"/>
              <w:tabs>
                <w:tab w:val="num" w:pos="360"/>
              </w:tabs>
              <w:ind w:left="360" w:hanging="360"/>
            </w:pPr>
            <w:r w:rsidRPr="002D5D18">
              <w:t>2.4</w:t>
            </w:r>
            <w:r w:rsidRPr="002D5D18">
              <w:tab/>
              <w:t xml:space="preserve">Beurteilen und entscheiden </w:t>
            </w:r>
            <w:r w:rsidR="00513981">
              <w:t>1,2,5</w:t>
            </w:r>
          </w:p>
          <w:p w14:paraId="235FC751" w14:textId="77777777" w:rsidR="00976E1F" w:rsidRDefault="00976E1F" w:rsidP="00976E1F">
            <w:pPr>
              <w:pStyle w:val="BPVerweisIK"/>
            </w:pPr>
            <w:r>
              <w:t>3.1.1.1 Identität, Individualität und Rolle</w:t>
            </w:r>
          </w:p>
          <w:p w14:paraId="2C6E3755" w14:textId="77777777" w:rsidR="00976E1F" w:rsidRDefault="00976E1F" w:rsidP="00976E1F">
            <w:pPr>
              <w:pStyle w:val="BPVerweisIK"/>
            </w:pPr>
            <w:r>
              <w:t>3.1.1.2</w:t>
            </w:r>
            <w:r w:rsidRPr="002D5D18">
              <w:tab/>
            </w:r>
            <w:r w:rsidRPr="00D24984">
              <w:rPr>
                <w:highlight w:val="yellow"/>
              </w:rPr>
              <w:t>Freiheit und Verantwortung</w:t>
            </w:r>
          </w:p>
          <w:p w14:paraId="1B4D879B" w14:textId="77777777" w:rsidR="00976E1F" w:rsidRPr="002D5D18" w:rsidRDefault="00976E1F" w:rsidP="00976E1F">
            <w:pPr>
              <w:pStyle w:val="BPVerweisIK"/>
            </w:pPr>
            <w:r>
              <w:t xml:space="preserve">3.1.1.3 </w:t>
            </w:r>
            <w:r w:rsidRPr="00D24984">
              <w:rPr>
                <w:highlight w:val="yellow"/>
              </w:rPr>
              <w:t>Gerechtigkeit</w:t>
            </w:r>
          </w:p>
          <w:p w14:paraId="085802FA" w14:textId="77777777" w:rsidR="00976E1F" w:rsidRPr="002D5D18" w:rsidRDefault="00976E1F" w:rsidP="00976E1F">
            <w:pPr>
              <w:pStyle w:val="BPVerweisIK"/>
            </w:pPr>
            <w:r>
              <w:t>3.1.4.1</w:t>
            </w:r>
            <w:r>
              <w:tab/>
              <w:t>E</w:t>
            </w:r>
            <w:r w:rsidRPr="002D5D18">
              <w:t>thisch-moralische Grundlagen des Handelns</w:t>
            </w:r>
          </w:p>
          <w:p w14:paraId="3376F71B" w14:textId="77777777" w:rsidR="00513981" w:rsidRDefault="00513981" w:rsidP="00976E1F">
            <w:pPr>
              <w:pStyle w:val="BPVerweisFach"/>
            </w:pPr>
            <w:r>
              <w:t>G3.2.2 Wende zur Neuzeit – neue Welten, neue Horizonte, neue Gewalt (Geschichte)</w:t>
            </w:r>
          </w:p>
          <w:p w14:paraId="75F288D1" w14:textId="77777777" w:rsidR="00513981" w:rsidRDefault="00513981" w:rsidP="00976E1F">
            <w:pPr>
              <w:pStyle w:val="BPVerweisFach"/>
            </w:pPr>
            <w:r>
              <w:t>G3.2.3 Die Französische Revolution _ Bürgertum, Vernunft, Freiheit (Geschichte)</w:t>
            </w:r>
          </w:p>
          <w:p w14:paraId="7477BB19" w14:textId="77777777" w:rsidR="00513981" w:rsidRDefault="00513981" w:rsidP="00976E1F">
            <w:pPr>
              <w:pStyle w:val="BPVerweisFach"/>
            </w:pPr>
            <w:r>
              <w:t>GK3.1.2 Rechtliche Stellung des Jugendlicher und Rechtsordnung (Gemeinschaftskunde)</w:t>
            </w:r>
          </w:p>
          <w:p w14:paraId="3051B3FB" w14:textId="77777777" w:rsidR="00906D7C" w:rsidRPr="002D5D18" w:rsidRDefault="00513981" w:rsidP="00513981">
            <w:pPr>
              <w:pStyle w:val="BPVerweisFach"/>
              <w:numPr>
                <w:ilvl w:val="0"/>
                <w:numId w:val="0"/>
              </w:numPr>
              <w:ind w:left="794" w:hanging="794"/>
            </w:pPr>
            <w:r>
              <w:tab/>
            </w:r>
          </w:p>
        </w:tc>
      </w:tr>
    </w:tbl>
    <w:p w14:paraId="460398C0" w14:textId="77777777" w:rsidR="00906D7C" w:rsidRDefault="00906D7C"/>
    <w:sectPr w:rsidR="00906D7C" w:rsidSect="00906D7C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4948F" w14:textId="77777777" w:rsidR="00CF0778" w:rsidRDefault="00CF0778" w:rsidP="005C51D6">
      <w:pPr>
        <w:spacing w:before="0" w:after="0" w:line="240" w:lineRule="auto"/>
      </w:pPr>
      <w:r>
        <w:separator/>
      </w:r>
    </w:p>
  </w:endnote>
  <w:endnote w:type="continuationSeparator" w:id="0">
    <w:p w14:paraId="31D427B3" w14:textId="77777777" w:rsidR="00CF0778" w:rsidRDefault="00CF0778" w:rsidP="005C51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5A448" w14:textId="77777777" w:rsidR="00CF0778" w:rsidRDefault="00CF0778" w:rsidP="005C51D6">
      <w:pPr>
        <w:spacing w:before="0" w:after="0" w:line="240" w:lineRule="auto"/>
      </w:pPr>
      <w:r>
        <w:separator/>
      </w:r>
    </w:p>
  </w:footnote>
  <w:footnote w:type="continuationSeparator" w:id="0">
    <w:p w14:paraId="773C10B3" w14:textId="77777777" w:rsidR="00CF0778" w:rsidRDefault="00CF0778" w:rsidP="005C51D6">
      <w:pPr>
        <w:spacing w:before="0" w:after="0" w:line="240" w:lineRule="auto"/>
      </w:pPr>
      <w:r>
        <w:continuationSeparator/>
      </w:r>
    </w:p>
  </w:footnote>
  <w:footnote w:id="1">
    <w:p w14:paraId="73CCFBBE" w14:textId="77777777" w:rsidR="005C51D6" w:rsidRDefault="005C51D6">
      <w:pPr>
        <w:pStyle w:val="Funotentext"/>
      </w:pPr>
      <w:r>
        <w:rPr>
          <w:rStyle w:val="Funotenzeichen"/>
        </w:rPr>
        <w:footnoteRef/>
      </w:r>
      <w:r>
        <w:t xml:space="preserve"> Bezüge zu den Leitbegriffen Freiheit und Gerechtigkeit gelb markiert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80.2pt;height:80.2pt" o:bullet="t">
        <v:imagedata r:id="rId1" o:title="F-web"/>
      </v:shape>
    </w:pict>
  </w:numPicBullet>
  <w:numPicBullet w:numPicBulletId="1">
    <w:pict>
      <v:shape id="_x0000_i1063" type="#_x0000_t75" style="width:80.2pt;height:80.2pt" o:bullet="t">
        <v:imagedata r:id="rId2" o:title="L-web"/>
      </v:shape>
    </w:pict>
  </w:numPicBullet>
  <w:numPicBullet w:numPicBulletId="2">
    <w:pict>
      <v:shape id="_x0000_i1064" type="#_x0000_t75" style="width:80.2pt;height:80.2pt" o:bullet="t">
        <v:imagedata r:id="rId3" o:title="I-web"/>
      </v:shape>
    </w:pict>
  </w:numPicBullet>
  <w:numPicBullet w:numPicBulletId="3">
    <w:pict>
      <v:shape id="_x0000_i1065" type="#_x0000_t75" style="width:80.2pt;height:80.2pt" o:bullet="t">
        <v:imagedata r:id="rId4" o:title="P-web"/>
      </v:shape>
    </w:pict>
  </w:numPicBullet>
  <w:abstractNum w:abstractNumId="0">
    <w:nsid w:val="0F99154E"/>
    <w:multiLevelType w:val="multilevel"/>
    <w:tmpl w:val="4DFE77C8"/>
    <w:lvl w:ilvl="0">
      <w:start w:val="1"/>
      <w:numFmt w:val="decimal"/>
      <w:pStyle w:val="BP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P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P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P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FC538BA"/>
    <w:multiLevelType w:val="hybridMultilevel"/>
    <w:tmpl w:val="251C09A2"/>
    <w:lvl w:ilvl="0" w:tplc="F578A90E">
      <w:start w:val="1"/>
      <w:numFmt w:val="bullet"/>
      <w:pStyle w:val="BPVerweisIK"/>
      <w:lvlText w:val=""/>
      <w:lvlPicBulletId w:val="2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77391"/>
    <w:multiLevelType w:val="hybridMultilevel"/>
    <w:tmpl w:val="DC624792"/>
    <w:lvl w:ilvl="0" w:tplc="321CC9B8">
      <w:start w:val="1"/>
      <w:numFmt w:val="bullet"/>
      <w:pStyle w:val="BPVerweisFach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19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7001B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407001B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26886DF7"/>
    <w:multiLevelType w:val="hybridMultilevel"/>
    <w:tmpl w:val="AE36B80C"/>
    <w:lvl w:ilvl="0" w:tplc="468E0F54">
      <w:start w:val="1"/>
      <w:numFmt w:val="bullet"/>
      <w:pStyle w:val="BPVerweisPK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19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7001B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7001B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7832EE"/>
    <w:multiLevelType w:val="hybridMultilevel"/>
    <w:tmpl w:val="894A4434"/>
    <w:lvl w:ilvl="0" w:tplc="F2E6F046">
      <w:start w:val="1"/>
      <w:numFmt w:val="bullet"/>
      <w:pStyle w:val="BPVerweisLeitprinzip"/>
      <w:lvlText w:val=""/>
      <w:lvlPicBulletId w:val="1"/>
      <w:lvlJc w:val="left"/>
      <w:pPr>
        <w:ind w:left="1636" w:hanging="360"/>
      </w:pPr>
      <w:rPr>
        <w:rFonts w:ascii="Symbol" w:hAnsi="Symbol" w:hint="default"/>
        <w:sz w:val="18"/>
        <w:szCs w:val="18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47753"/>
    <w:multiLevelType w:val="multilevel"/>
    <w:tmpl w:val="A2E80C8C"/>
    <w:lvl w:ilvl="0">
      <w:start w:val="1"/>
      <w:numFmt w:val="decimal"/>
      <w:pStyle w:val="berschrift1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944" w:hanging="1584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06D7C"/>
    <w:rsid w:val="001D78C3"/>
    <w:rsid w:val="00246F77"/>
    <w:rsid w:val="002C30C6"/>
    <w:rsid w:val="00513981"/>
    <w:rsid w:val="005848D3"/>
    <w:rsid w:val="005C51D6"/>
    <w:rsid w:val="008A02C9"/>
    <w:rsid w:val="008C38C8"/>
    <w:rsid w:val="00906D7C"/>
    <w:rsid w:val="00976E1F"/>
    <w:rsid w:val="00B87CB2"/>
    <w:rsid w:val="00CF0778"/>
    <w:rsid w:val="00D249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BC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906D7C"/>
    <w:pPr>
      <w:spacing w:before="60" w:after="60" w:line="360" w:lineRule="auto"/>
      <w:jc w:val="both"/>
    </w:pPr>
    <w:rPr>
      <w:rFonts w:ascii="Arial" w:eastAsia="Times New Roman" w:hAnsi="Arial" w:cs="Times New Roman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6D7C"/>
    <w:pPr>
      <w:keepNext/>
      <w:keepLines/>
      <w:numPr>
        <w:numId w:val="6"/>
      </w:numPr>
      <w:spacing w:before="480"/>
      <w:outlineLvl w:val="0"/>
    </w:pPr>
    <w:rPr>
      <w:rFonts w:ascii="Calibri" w:eastAsia="MS Gothic" w:hAnsi="Calibri"/>
      <w:b/>
      <w:bCs/>
      <w:noProof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06D7C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MS Gothic" w:hAnsi="Cambria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06D7C"/>
    <w:pPr>
      <w:keepNext/>
      <w:keepLines/>
      <w:numPr>
        <w:ilvl w:val="3"/>
        <w:numId w:val="6"/>
      </w:numPr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06D7C"/>
    <w:pPr>
      <w:keepNext/>
      <w:keepLines/>
      <w:numPr>
        <w:ilvl w:val="4"/>
        <w:numId w:val="6"/>
      </w:numPr>
      <w:spacing w:before="200"/>
      <w:outlineLvl w:val="4"/>
    </w:pPr>
    <w:rPr>
      <w:rFonts w:ascii="Cambria" w:eastAsia="MS Gothic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906D7C"/>
    <w:pPr>
      <w:keepNext/>
      <w:keepLines/>
      <w:numPr>
        <w:ilvl w:val="5"/>
        <w:numId w:val="6"/>
      </w:numPr>
      <w:spacing w:before="200"/>
      <w:outlineLvl w:val="5"/>
    </w:pPr>
    <w:rPr>
      <w:rFonts w:ascii="Cambria" w:eastAsia="MS Gothic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906D7C"/>
    <w:pPr>
      <w:keepNext/>
      <w:keepLines/>
      <w:numPr>
        <w:ilvl w:val="6"/>
        <w:numId w:val="6"/>
      </w:numPr>
      <w:spacing w:before="200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906D7C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MS Gothic" w:hAnsi="Cambria"/>
      <w:color w:val="404040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906D7C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MS Gothic" w:hAnsi="Cambria"/>
      <w:i/>
      <w:iCs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AF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AF8"/>
    <w:rPr>
      <w:rFonts w:ascii="Lucida Grande" w:hAnsi="Lucida Grande"/>
      <w:sz w:val="18"/>
      <w:szCs w:val="18"/>
    </w:rPr>
  </w:style>
  <w:style w:type="paragraph" w:customStyle="1" w:styleId="BPberschrift1">
    <w:name w:val="BP_Überschrift1"/>
    <w:basedOn w:val="Standard"/>
    <w:next w:val="Standard"/>
    <w:uiPriority w:val="1"/>
    <w:qFormat/>
    <w:rsid w:val="00906D7C"/>
    <w:pPr>
      <w:keepNext/>
      <w:keepLines/>
      <w:numPr>
        <w:numId w:val="5"/>
      </w:numPr>
      <w:spacing w:before="0" w:after="240" w:line="240" w:lineRule="auto"/>
      <w:jc w:val="left"/>
      <w:outlineLvl w:val="0"/>
    </w:pPr>
    <w:rPr>
      <w:rFonts w:eastAsia="Calibri" w:cs="Arial"/>
      <w:b/>
      <w:bCs/>
      <w:sz w:val="28"/>
    </w:rPr>
  </w:style>
  <w:style w:type="paragraph" w:customStyle="1" w:styleId="BPberschrift2">
    <w:name w:val="BP_Überschrift2"/>
    <w:basedOn w:val="Standard"/>
    <w:next w:val="Standard"/>
    <w:uiPriority w:val="1"/>
    <w:qFormat/>
    <w:rsid w:val="00906D7C"/>
    <w:pPr>
      <w:keepNext/>
      <w:keepLines/>
      <w:numPr>
        <w:ilvl w:val="1"/>
        <w:numId w:val="5"/>
      </w:numPr>
      <w:spacing w:before="240" w:after="180"/>
      <w:ind w:left="578" w:hanging="578"/>
      <w:jc w:val="left"/>
      <w:outlineLvl w:val="1"/>
    </w:pPr>
    <w:rPr>
      <w:rFonts w:eastAsia="Calibri" w:cs="Arial"/>
      <w:b/>
      <w:sz w:val="24"/>
    </w:rPr>
  </w:style>
  <w:style w:type="paragraph" w:customStyle="1" w:styleId="BPberschrift3">
    <w:name w:val="BP_Überschrift3"/>
    <w:basedOn w:val="Standard"/>
    <w:next w:val="Standard"/>
    <w:uiPriority w:val="1"/>
    <w:qFormat/>
    <w:rsid w:val="00906D7C"/>
    <w:pPr>
      <w:keepNext/>
      <w:keepLines/>
      <w:numPr>
        <w:ilvl w:val="2"/>
        <w:numId w:val="5"/>
      </w:numPr>
      <w:suppressAutoHyphens/>
      <w:spacing w:before="240" w:line="276" w:lineRule="auto"/>
      <w:jc w:val="left"/>
      <w:outlineLvl w:val="2"/>
    </w:pPr>
    <w:rPr>
      <w:rFonts w:eastAsia="MS Mincho" w:cs="Arial"/>
      <w:b/>
      <w:bCs/>
      <w:sz w:val="24"/>
      <w:lang w:eastAsia="en-US"/>
    </w:rPr>
  </w:style>
  <w:style w:type="paragraph" w:customStyle="1" w:styleId="BPVerweisIK">
    <w:name w:val="BP_Verweis_IK"/>
    <w:basedOn w:val="Standard"/>
    <w:uiPriority w:val="1"/>
    <w:qFormat/>
    <w:rsid w:val="00906D7C"/>
    <w:pPr>
      <w:numPr>
        <w:numId w:val="3"/>
      </w:numPr>
      <w:tabs>
        <w:tab w:val="left" w:pos="227"/>
        <w:tab w:val="left" w:pos="851"/>
      </w:tabs>
      <w:spacing w:before="0" w:after="0" w:line="276" w:lineRule="auto"/>
      <w:ind w:left="794" w:hanging="794"/>
      <w:jc w:val="left"/>
    </w:pPr>
    <w:rPr>
      <w:rFonts w:eastAsia="Calibri" w:cs="Arial"/>
      <w:sz w:val="16"/>
    </w:rPr>
  </w:style>
  <w:style w:type="paragraph" w:customStyle="1" w:styleId="BPVerweisPK">
    <w:name w:val="BP_Verweis_PK"/>
    <w:basedOn w:val="Standard"/>
    <w:link w:val="BPVerweisPKZeichen"/>
    <w:uiPriority w:val="1"/>
    <w:qFormat/>
    <w:rsid w:val="00906D7C"/>
    <w:pPr>
      <w:numPr>
        <w:numId w:val="4"/>
      </w:numPr>
      <w:tabs>
        <w:tab w:val="clear" w:pos="360"/>
        <w:tab w:val="left" w:pos="227"/>
        <w:tab w:val="left" w:pos="794"/>
      </w:tabs>
      <w:spacing w:before="0" w:after="0" w:line="276" w:lineRule="auto"/>
      <w:ind w:left="794" w:hanging="794"/>
      <w:jc w:val="left"/>
    </w:pPr>
    <w:rPr>
      <w:sz w:val="16"/>
    </w:rPr>
  </w:style>
  <w:style w:type="paragraph" w:customStyle="1" w:styleId="BPVerweisFach">
    <w:name w:val="BP_Verweis_Fach"/>
    <w:basedOn w:val="Standard"/>
    <w:uiPriority w:val="1"/>
    <w:qFormat/>
    <w:rsid w:val="00906D7C"/>
    <w:pPr>
      <w:numPr>
        <w:numId w:val="1"/>
      </w:numPr>
      <w:tabs>
        <w:tab w:val="clear" w:pos="360"/>
        <w:tab w:val="left" w:pos="227"/>
        <w:tab w:val="left" w:pos="794"/>
      </w:tabs>
      <w:spacing w:before="0" w:after="0" w:line="276" w:lineRule="auto"/>
      <w:ind w:left="794" w:hanging="794"/>
      <w:jc w:val="left"/>
    </w:pPr>
    <w:rPr>
      <w:rFonts w:eastAsia="Calibri" w:cs="Arial"/>
      <w:sz w:val="16"/>
    </w:rPr>
  </w:style>
  <w:style w:type="character" w:customStyle="1" w:styleId="BPVerweisPKZeichen">
    <w:name w:val="BP_Verweis_PK Zeichen"/>
    <w:link w:val="BPVerweisPK"/>
    <w:uiPriority w:val="1"/>
    <w:rsid w:val="00906D7C"/>
    <w:rPr>
      <w:rFonts w:ascii="Arial" w:eastAsia="Times New Roman" w:hAnsi="Arial" w:cs="Times New Roman"/>
      <w:sz w:val="16"/>
      <w:lang w:eastAsia="de-DE"/>
    </w:rPr>
  </w:style>
  <w:style w:type="paragraph" w:customStyle="1" w:styleId="BPIKKompetenzBeschreibung">
    <w:name w:val="BP_IK_Kompetenz_Beschreibung"/>
    <w:basedOn w:val="Standard"/>
    <w:uiPriority w:val="1"/>
    <w:qFormat/>
    <w:rsid w:val="00906D7C"/>
    <w:rPr>
      <w:rFonts w:eastAsia="Calibri" w:cs="Arial"/>
    </w:rPr>
  </w:style>
  <w:style w:type="paragraph" w:customStyle="1" w:styleId="BPberschrift4">
    <w:name w:val="BP_Überschrift4"/>
    <w:basedOn w:val="BPberschrift3"/>
    <w:uiPriority w:val="1"/>
    <w:qFormat/>
    <w:rsid w:val="00906D7C"/>
    <w:pPr>
      <w:numPr>
        <w:ilvl w:val="3"/>
      </w:numPr>
      <w:ind w:left="862" w:hanging="862"/>
      <w:outlineLvl w:val="3"/>
    </w:pPr>
  </w:style>
  <w:style w:type="paragraph" w:customStyle="1" w:styleId="BPIKTeilkompetenzBeschreibung">
    <w:name w:val="BP_IK_Teilkompetenz_Beschreibung"/>
    <w:basedOn w:val="Standard"/>
    <w:uiPriority w:val="1"/>
    <w:qFormat/>
    <w:rsid w:val="00906D7C"/>
    <w:pPr>
      <w:tabs>
        <w:tab w:val="left" w:pos="408"/>
      </w:tabs>
      <w:spacing w:before="0" w:after="0" w:line="276" w:lineRule="auto"/>
    </w:pPr>
  </w:style>
  <w:style w:type="paragraph" w:customStyle="1" w:styleId="BPVerweisLeitprinzip">
    <w:name w:val="BP_Verweis_Leitprinzip"/>
    <w:basedOn w:val="Standard"/>
    <w:uiPriority w:val="1"/>
    <w:qFormat/>
    <w:rsid w:val="00906D7C"/>
    <w:pPr>
      <w:numPr>
        <w:numId w:val="2"/>
      </w:numPr>
      <w:tabs>
        <w:tab w:val="left" w:pos="227"/>
        <w:tab w:val="left" w:pos="794"/>
      </w:tabs>
      <w:spacing w:before="0" w:after="0" w:line="276" w:lineRule="auto"/>
      <w:ind w:left="794" w:hanging="794"/>
      <w:jc w:val="left"/>
    </w:pPr>
    <w:rPr>
      <w:rFonts w:eastAsia="Calibri" w:cs="Arial"/>
      <w:sz w:val="16"/>
    </w:rPr>
  </w:style>
  <w:style w:type="character" w:customStyle="1" w:styleId="BPIKTeilkompetenzkursiv">
    <w:name w:val="BP_IK_Teilkompetenz_kursiv"/>
    <w:uiPriority w:val="1"/>
    <w:qFormat/>
    <w:rsid w:val="00906D7C"/>
    <w:rPr>
      <w:rFonts w:ascii="Arial" w:hAnsi="Arial"/>
      <w:i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06D7C"/>
    <w:rPr>
      <w:rFonts w:ascii="Calibri" w:eastAsia="MS Gothic" w:hAnsi="Calibri" w:cs="Times New Roman"/>
      <w:b/>
      <w:bCs/>
      <w:noProof/>
      <w:sz w:val="28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6D7C"/>
    <w:rPr>
      <w:rFonts w:ascii="Cambria" w:eastAsia="MS Gothic" w:hAnsi="Cambria" w:cs="Times New Roman"/>
      <w:b/>
      <w:bCs/>
      <w:color w:val="4F81BD"/>
      <w:sz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06D7C"/>
    <w:rPr>
      <w:rFonts w:ascii="Cambria" w:eastAsia="MS Gothic" w:hAnsi="Cambria" w:cs="Times New Roman"/>
      <w:b/>
      <w:bCs/>
      <w:i/>
      <w:iCs/>
      <w:color w:val="4F81BD"/>
      <w:sz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06D7C"/>
    <w:rPr>
      <w:rFonts w:ascii="Cambria" w:eastAsia="MS Gothic" w:hAnsi="Cambria" w:cs="Times New Roman"/>
      <w:color w:val="243F60"/>
      <w:sz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06D7C"/>
    <w:rPr>
      <w:rFonts w:ascii="Cambria" w:eastAsia="MS Gothic" w:hAnsi="Cambria" w:cs="Times New Roman"/>
      <w:i/>
      <w:iCs/>
      <w:color w:val="243F60"/>
      <w:sz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06D7C"/>
    <w:rPr>
      <w:rFonts w:ascii="Cambria" w:eastAsia="MS Gothic" w:hAnsi="Cambria" w:cs="Times New Roman"/>
      <w:i/>
      <w:iCs/>
      <w:color w:val="404040"/>
      <w:sz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906D7C"/>
    <w:rPr>
      <w:rFonts w:ascii="Cambria" w:eastAsia="MS Gothic" w:hAnsi="Cambria" w:cs="Times New Roman"/>
      <w:color w:val="404040"/>
      <w:sz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06D7C"/>
    <w:rPr>
      <w:rFonts w:ascii="Cambria" w:eastAsia="MS Gothic" w:hAnsi="Cambria" w:cs="Times New Roman"/>
      <w:i/>
      <w:iCs/>
      <w:color w:val="404040"/>
      <w:sz w:val="20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5C51D6"/>
    <w:pPr>
      <w:spacing w:before="0" w:after="0" w:line="240" w:lineRule="auto"/>
    </w:pPr>
    <w:rPr>
      <w:sz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51D6"/>
    <w:rPr>
      <w:rFonts w:ascii="Arial" w:eastAsia="Times New Roman" w:hAnsi="Arial" w:cs="Times New Roman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5C5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1620</Characters>
  <Application>Microsoft Macintosh Word</Application>
  <DocSecurity>0</DocSecurity>
  <Lines>13</Lines>
  <Paragraphs>3</Paragraphs>
  <ScaleCrop>false</ScaleCrop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Hanraths</dc:creator>
  <cp:keywords/>
  <cp:lastModifiedBy>Ulrike Hanraths</cp:lastModifiedBy>
  <cp:revision>5</cp:revision>
  <cp:lastPrinted>2015-04-27T17:05:00Z</cp:lastPrinted>
  <dcterms:created xsi:type="dcterms:W3CDTF">2015-11-17T11:19:00Z</dcterms:created>
  <dcterms:modified xsi:type="dcterms:W3CDTF">2016-07-24T12:04:00Z</dcterms:modified>
</cp:coreProperties>
</file>