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28"/>
        <w:gridCol w:w="4536"/>
      </w:tblGrid>
      <w:tr w:rsidR="007D13FB" w:rsidRPr="0045068C" w:rsidTr="00A3038D">
        <w:tc>
          <w:tcPr>
            <w:tcW w:w="9464" w:type="dxa"/>
            <w:gridSpan w:val="2"/>
          </w:tcPr>
          <w:p w:rsidR="007D13FB" w:rsidRDefault="007D13FB" w:rsidP="00A3038D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45068C">
              <w:rPr>
                <w:rFonts w:ascii="Arial" w:hAnsi="Arial"/>
                <w:b/>
                <w:sz w:val="22"/>
              </w:rPr>
              <w:t>Didaktisch-methodischer Kommentar</w:t>
            </w:r>
          </w:p>
          <w:p w:rsidR="00F47EF8" w:rsidRDefault="00A20236" w:rsidP="00B7502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Die Auseinandersetzung mit religiösen Themen im Ethikunterricht orientiert sich an einer </w:t>
            </w:r>
            <w:r w:rsidR="00AC00B8">
              <w:rPr>
                <w:rFonts w:ascii="Arial" w:hAnsi="Arial"/>
                <w:sz w:val="22"/>
              </w:rPr>
              <w:t xml:space="preserve">problemorientierten </w:t>
            </w:r>
            <w:r>
              <w:rPr>
                <w:rFonts w:ascii="Arial" w:hAnsi="Arial"/>
                <w:sz w:val="22"/>
              </w:rPr>
              <w:t>„Didaktik des Religiösen“</w:t>
            </w:r>
            <w:r w:rsidR="002D38CF">
              <w:rPr>
                <w:rFonts w:ascii="Arial" w:hAnsi="Arial"/>
                <w:sz w:val="22"/>
              </w:rPr>
              <w:t>, welche nicht</w:t>
            </w:r>
            <w:r w:rsidR="00B75026">
              <w:rPr>
                <w:rFonts w:ascii="Arial" w:hAnsi="Arial"/>
                <w:sz w:val="22"/>
              </w:rPr>
              <w:t xml:space="preserve"> primär</w:t>
            </w:r>
            <w:r w:rsidR="002D38CF">
              <w:rPr>
                <w:rFonts w:ascii="Arial" w:hAnsi="Arial"/>
                <w:sz w:val="22"/>
              </w:rPr>
              <w:t xml:space="preserve"> auf einem </w:t>
            </w:r>
            <w:proofErr w:type="spellStart"/>
            <w:r>
              <w:rPr>
                <w:rFonts w:ascii="Arial" w:hAnsi="Arial"/>
                <w:sz w:val="22"/>
              </w:rPr>
              <w:t>religionskundlichen</w:t>
            </w:r>
            <w:proofErr w:type="spellEnd"/>
            <w:r>
              <w:rPr>
                <w:rFonts w:ascii="Arial" w:hAnsi="Arial"/>
                <w:sz w:val="22"/>
              </w:rPr>
              <w:t xml:space="preserve"> bzw.</w:t>
            </w:r>
            <w:r w:rsidR="00B7502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-phänomenologischen Ansatz</w:t>
            </w:r>
            <w:r w:rsidR="002D38CF">
              <w:rPr>
                <w:rFonts w:ascii="Arial" w:hAnsi="Arial"/>
                <w:sz w:val="22"/>
              </w:rPr>
              <w:t xml:space="preserve"> basiert</w:t>
            </w:r>
            <w:r>
              <w:rPr>
                <w:rFonts w:ascii="Arial" w:hAnsi="Arial"/>
                <w:sz w:val="22"/>
              </w:rPr>
              <w:t>, sondern an einer Schwerpunktsetzung auf</w:t>
            </w:r>
            <w:r w:rsidR="00F30074">
              <w:rPr>
                <w:rFonts w:ascii="Arial" w:hAnsi="Arial"/>
                <w:sz w:val="22"/>
              </w:rPr>
              <w:t xml:space="preserve"> dem religiösen Ethos</w:t>
            </w:r>
            <w:r w:rsidR="00F47EF8">
              <w:rPr>
                <w:rFonts w:ascii="Arial" w:hAnsi="Arial"/>
                <w:sz w:val="22"/>
              </w:rPr>
              <w:t>:</w:t>
            </w:r>
          </w:p>
          <w:p w:rsidR="00F47EF8" w:rsidRDefault="00F47EF8" w:rsidP="00F47EF8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(1) </w:t>
            </w:r>
            <w:r w:rsidR="00A20236">
              <w:rPr>
                <w:rFonts w:ascii="Arial" w:hAnsi="Arial"/>
                <w:sz w:val="22"/>
              </w:rPr>
              <w:t xml:space="preserve">Erarbeitung </w:t>
            </w:r>
            <w:r w:rsidR="00B75026">
              <w:rPr>
                <w:rFonts w:ascii="Arial" w:hAnsi="Arial"/>
                <w:sz w:val="22"/>
              </w:rPr>
              <w:t>ethisch-moralischer Heuristiken, ethisch-moralischer Werte und Normen sowie</w:t>
            </w:r>
            <w:r w:rsidR="00904EAF">
              <w:rPr>
                <w:rFonts w:ascii="Arial" w:hAnsi="Arial"/>
                <w:sz w:val="22"/>
              </w:rPr>
              <w:t xml:space="preserve"> ethisch-moralischer Glaubensg</w:t>
            </w:r>
            <w:r w:rsidR="00B75026">
              <w:rPr>
                <w:rFonts w:ascii="Arial" w:hAnsi="Arial"/>
                <w:sz w:val="22"/>
              </w:rPr>
              <w:t xml:space="preserve">rundsätze </w:t>
            </w:r>
            <w:r>
              <w:rPr>
                <w:rFonts w:ascii="Arial" w:hAnsi="Arial"/>
                <w:sz w:val="22"/>
              </w:rPr>
              <w:t>einzelner Religionen</w:t>
            </w:r>
          </w:p>
          <w:p w:rsidR="00F47EF8" w:rsidRDefault="00F47EF8" w:rsidP="00F47EF8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(2)</w:t>
            </w:r>
            <w:r w:rsidR="00717881">
              <w:rPr>
                <w:rFonts w:ascii="Arial" w:hAnsi="Arial"/>
                <w:sz w:val="22"/>
              </w:rPr>
              <w:t xml:space="preserve"> </w:t>
            </w:r>
            <w:r w:rsidR="00B75026">
              <w:rPr>
                <w:rFonts w:ascii="Arial" w:hAnsi="Arial"/>
                <w:sz w:val="22"/>
              </w:rPr>
              <w:t xml:space="preserve">Erarbeitung und </w:t>
            </w:r>
            <w:r>
              <w:rPr>
                <w:rFonts w:ascii="Arial" w:hAnsi="Arial"/>
                <w:sz w:val="22"/>
              </w:rPr>
              <w:t>Analyse der Begründung ethisch-moralischer Gehalte von Religionen</w:t>
            </w:r>
          </w:p>
          <w:p w:rsidR="00F47EF8" w:rsidRDefault="00E8598F" w:rsidP="00F47EF8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(3) Erörterung</w:t>
            </w:r>
            <w:r w:rsidR="00F47EF8">
              <w:rPr>
                <w:rFonts w:ascii="Arial" w:hAnsi="Arial"/>
                <w:sz w:val="22"/>
              </w:rPr>
              <w:t xml:space="preserve"> der Frage nach einem gemeinsamen Ethos aller Religionen</w:t>
            </w:r>
          </w:p>
          <w:p w:rsidR="00F47EF8" w:rsidRDefault="00C160F3" w:rsidP="00F47EF8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(4) Vergleich </w:t>
            </w:r>
            <w:r w:rsidR="00F30074">
              <w:rPr>
                <w:rFonts w:ascii="Arial" w:hAnsi="Arial"/>
                <w:sz w:val="22"/>
              </w:rPr>
              <w:t>des religiösem Ethos bzw.</w:t>
            </w:r>
            <w:r>
              <w:rPr>
                <w:rFonts w:ascii="Arial" w:hAnsi="Arial"/>
                <w:sz w:val="22"/>
              </w:rPr>
              <w:t xml:space="preserve"> theologischer Ethik</w:t>
            </w:r>
            <w:r w:rsidR="00F47EF8">
              <w:rPr>
                <w:rFonts w:ascii="Arial" w:hAnsi="Arial"/>
                <w:sz w:val="22"/>
              </w:rPr>
              <w:t xml:space="preserve"> mit philosophischer Ethik</w:t>
            </w:r>
          </w:p>
          <w:p w:rsidR="00F47EF8" w:rsidRDefault="00F47EF8" w:rsidP="00F47EF8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(5) Reflexion über das Verhältnis von</w:t>
            </w:r>
            <w:r w:rsidR="005E7CDB">
              <w:rPr>
                <w:rFonts w:ascii="Arial" w:hAnsi="Arial"/>
                <w:sz w:val="22"/>
              </w:rPr>
              <w:t xml:space="preserve"> religiös begründeten Moralvorstellungen</w:t>
            </w:r>
            <w:r>
              <w:rPr>
                <w:rFonts w:ascii="Arial" w:hAnsi="Arial"/>
                <w:sz w:val="22"/>
              </w:rPr>
              <w:t xml:space="preserve"> und</w:t>
            </w:r>
            <w:r w:rsidR="005E7CDB">
              <w:rPr>
                <w:rFonts w:ascii="Arial" w:hAnsi="Arial"/>
                <w:sz w:val="22"/>
              </w:rPr>
              <w:t xml:space="preserve"> deren</w:t>
            </w:r>
            <w:r>
              <w:rPr>
                <w:rFonts w:ascii="Arial" w:hAnsi="Arial"/>
                <w:sz w:val="22"/>
              </w:rPr>
              <w:t xml:space="preserve"> kultureller Prax</w:t>
            </w:r>
            <w:r w:rsidR="005E7CDB">
              <w:rPr>
                <w:rFonts w:ascii="Arial" w:hAnsi="Arial"/>
                <w:sz w:val="22"/>
              </w:rPr>
              <w:t>is</w:t>
            </w:r>
            <w:r w:rsidR="002A7E3C">
              <w:rPr>
                <w:rFonts w:ascii="Arial" w:hAnsi="Arial"/>
                <w:sz w:val="22"/>
              </w:rPr>
              <w:t xml:space="preserve"> sowie die Prüfung der Aktualit</w:t>
            </w:r>
            <w:r w:rsidR="00A927D8">
              <w:rPr>
                <w:rFonts w:ascii="Arial" w:hAnsi="Arial"/>
                <w:sz w:val="22"/>
              </w:rPr>
              <w:t>ät eines religiösen</w:t>
            </w:r>
            <w:r w:rsidR="00F30074">
              <w:rPr>
                <w:rFonts w:ascii="Arial" w:hAnsi="Arial"/>
                <w:sz w:val="22"/>
              </w:rPr>
              <w:t xml:space="preserve"> Ethos.</w:t>
            </w:r>
          </w:p>
          <w:p w:rsidR="007D13FB" w:rsidRPr="002D38CF" w:rsidRDefault="005E7CDB" w:rsidP="00F47EF8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Die Armensteuer, die für die Muslime zu den „fünf Säulen des Islam“ gehört, ist Au</w:t>
            </w:r>
            <w:r w:rsidR="006D6400">
              <w:rPr>
                <w:rFonts w:ascii="Arial" w:hAnsi="Arial"/>
                <w:sz w:val="22"/>
              </w:rPr>
              <w:t>sdruck einer Orientierung an</w:t>
            </w:r>
            <w:r>
              <w:rPr>
                <w:rFonts w:ascii="Arial" w:hAnsi="Arial"/>
                <w:sz w:val="22"/>
              </w:rPr>
              <w:t xml:space="preserve"> Werten</w:t>
            </w:r>
            <w:r w:rsidR="006D6400">
              <w:rPr>
                <w:rFonts w:ascii="Arial" w:hAnsi="Arial"/>
                <w:sz w:val="22"/>
              </w:rPr>
              <w:t xml:space="preserve"> wie</w:t>
            </w:r>
            <w:r>
              <w:rPr>
                <w:rFonts w:ascii="Arial" w:hAnsi="Arial"/>
                <w:sz w:val="22"/>
              </w:rPr>
              <w:t xml:space="preserve"> Gerechtigkeit, Verantwortung und Solidarität. Im Zeitalter des Neoliberalismus erinnert</w:t>
            </w:r>
            <w:r w:rsidR="002D38CF">
              <w:rPr>
                <w:rFonts w:ascii="Arial" w:hAnsi="Arial"/>
                <w:sz w:val="22"/>
              </w:rPr>
              <w:t xml:space="preserve"> die</w:t>
            </w:r>
            <w:r>
              <w:rPr>
                <w:rFonts w:ascii="Arial" w:hAnsi="Arial"/>
                <w:sz w:val="22"/>
              </w:rPr>
              <w:t xml:space="preserve"> Armensteuer </w:t>
            </w:r>
            <w:r w:rsidR="006D6400">
              <w:rPr>
                <w:rFonts w:ascii="Arial" w:hAnsi="Arial"/>
                <w:sz w:val="22"/>
              </w:rPr>
              <w:t>an die Bindung von Eigentum und Besitz an eine Sozialverpflichtung, die sich</w:t>
            </w:r>
            <w:r w:rsidR="00DF1CD9">
              <w:rPr>
                <w:rFonts w:ascii="Arial" w:hAnsi="Arial"/>
                <w:sz w:val="22"/>
              </w:rPr>
              <w:t xml:space="preserve"> </w:t>
            </w:r>
            <w:r w:rsidR="00C160F3">
              <w:rPr>
                <w:rFonts w:ascii="Arial" w:hAnsi="Arial"/>
                <w:sz w:val="22"/>
              </w:rPr>
              <w:t xml:space="preserve">- </w:t>
            </w:r>
            <w:r w:rsidR="00DF1CD9">
              <w:rPr>
                <w:rFonts w:ascii="Arial" w:hAnsi="Arial"/>
                <w:sz w:val="22"/>
              </w:rPr>
              <w:t>allerdings säkular gewendet</w:t>
            </w:r>
            <w:r w:rsidR="00C160F3">
              <w:rPr>
                <w:rFonts w:ascii="Arial" w:hAnsi="Arial"/>
                <w:sz w:val="22"/>
              </w:rPr>
              <w:t xml:space="preserve"> -</w:t>
            </w:r>
            <w:r w:rsidR="006D6400">
              <w:rPr>
                <w:rFonts w:ascii="Arial" w:hAnsi="Arial"/>
                <w:sz w:val="22"/>
              </w:rPr>
              <w:t xml:space="preserve"> auch im Grundgesetz findet. </w:t>
            </w:r>
            <w:r w:rsidR="002A7E3C">
              <w:rPr>
                <w:rFonts w:ascii="Arial" w:hAnsi="Arial"/>
                <w:sz w:val="22"/>
              </w:rPr>
              <w:t>Die wirtschaftsethische Komponente des Islam lässt sich mit der Auffassung vom „Kapitalismus als Religion“ kon</w:t>
            </w:r>
            <w:r w:rsidR="002D38CF">
              <w:rPr>
                <w:rFonts w:ascii="Arial" w:hAnsi="Arial"/>
                <w:sz w:val="22"/>
              </w:rPr>
              <w:t xml:space="preserve">trastieren. Dieses kann </w:t>
            </w:r>
            <w:r w:rsidR="002A7E3C">
              <w:rPr>
                <w:rFonts w:ascii="Arial" w:hAnsi="Arial"/>
                <w:sz w:val="22"/>
              </w:rPr>
              <w:t>dazu dienen</w:t>
            </w:r>
            <w:r w:rsidR="00C160F3">
              <w:rPr>
                <w:rFonts w:ascii="Arial" w:hAnsi="Arial"/>
                <w:sz w:val="22"/>
              </w:rPr>
              <w:t>,</w:t>
            </w:r>
            <w:r w:rsidR="002A7E3C">
              <w:rPr>
                <w:rFonts w:ascii="Arial" w:hAnsi="Arial"/>
                <w:sz w:val="22"/>
              </w:rPr>
              <w:t xml:space="preserve"> kulturelle Differenzen zwischen dem</w:t>
            </w:r>
            <w:r w:rsidR="002D38CF">
              <w:rPr>
                <w:rFonts w:ascii="Arial" w:hAnsi="Arial"/>
                <w:sz w:val="22"/>
              </w:rPr>
              <w:t xml:space="preserve"> Wirtschaftsverständnis der Muslime</w:t>
            </w:r>
            <w:r w:rsidR="002A7E3C">
              <w:rPr>
                <w:rFonts w:ascii="Arial" w:hAnsi="Arial"/>
                <w:sz w:val="22"/>
              </w:rPr>
              <w:t xml:space="preserve"> und dem westlich-kapitalistischer Gesellschaften besser</w:t>
            </w:r>
            <w:r w:rsidR="00CD445E">
              <w:rPr>
                <w:rFonts w:ascii="Arial" w:hAnsi="Arial"/>
                <w:sz w:val="22"/>
              </w:rPr>
              <w:t xml:space="preserve"> zu</w:t>
            </w:r>
            <w:r w:rsidR="002A7E3C">
              <w:rPr>
                <w:rFonts w:ascii="Arial" w:hAnsi="Arial"/>
                <w:sz w:val="22"/>
              </w:rPr>
              <w:t xml:space="preserve"> verstehen.</w:t>
            </w:r>
            <w:r w:rsidR="00DF1CD9">
              <w:rPr>
                <w:rFonts w:ascii="Arial" w:hAnsi="Arial"/>
                <w:sz w:val="22"/>
              </w:rPr>
              <w:t xml:space="preserve"> Methodisch bietet es sich an, dass die SuS anhand der Originalzitate </w:t>
            </w:r>
            <w:r w:rsidR="002D38CF">
              <w:rPr>
                <w:rFonts w:ascii="Arial" w:hAnsi="Arial"/>
                <w:sz w:val="22"/>
              </w:rPr>
              <w:t>die dem Islam inhärenten</w:t>
            </w:r>
            <w:r w:rsidR="00DF1CD9">
              <w:rPr>
                <w:rFonts w:ascii="Arial" w:hAnsi="Arial"/>
                <w:sz w:val="22"/>
              </w:rPr>
              <w:t xml:space="preserve"> ethisch-moralischen Werte und Normen era</w:t>
            </w:r>
            <w:r w:rsidR="007F5EDE">
              <w:rPr>
                <w:rFonts w:ascii="Arial" w:hAnsi="Arial"/>
                <w:sz w:val="22"/>
              </w:rPr>
              <w:t>rbeiten und deren Rolle</w:t>
            </w:r>
            <w:r w:rsidR="00DF1CD9">
              <w:rPr>
                <w:rFonts w:ascii="Arial" w:hAnsi="Arial"/>
                <w:sz w:val="22"/>
              </w:rPr>
              <w:t xml:space="preserve"> in </w:t>
            </w:r>
            <w:r w:rsidR="007F5EDE">
              <w:rPr>
                <w:rFonts w:ascii="Arial" w:hAnsi="Arial"/>
                <w:sz w:val="22"/>
              </w:rPr>
              <w:t xml:space="preserve">der </w:t>
            </w:r>
            <w:r w:rsidR="00DF1CD9">
              <w:rPr>
                <w:rFonts w:ascii="Arial" w:hAnsi="Arial"/>
                <w:sz w:val="22"/>
              </w:rPr>
              <w:t>kulturelle</w:t>
            </w:r>
            <w:r w:rsidR="007F5EDE">
              <w:rPr>
                <w:rFonts w:ascii="Arial" w:hAnsi="Arial"/>
                <w:sz w:val="22"/>
              </w:rPr>
              <w:t>n</w:t>
            </w:r>
            <w:r w:rsidR="00DF1CD9">
              <w:rPr>
                <w:rFonts w:ascii="Arial" w:hAnsi="Arial"/>
                <w:sz w:val="22"/>
              </w:rPr>
              <w:t xml:space="preserve"> Praxis</w:t>
            </w:r>
            <w:r w:rsidR="007F5EDE">
              <w:rPr>
                <w:rFonts w:ascii="Arial" w:hAnsi="Arial"/>
                <w:sz w:val="22"/>
              </w:rPr>
              <w:t xml:space="preserve"> differenziert</w:t>
            </w:r>
            <w:r w:rsidR="00AC00B8">
              <w:rPr>
                <w:rFonts w:ascii="Arial" w:hAnsi="Arial"/>
                <w:sz w:val="22"/>
              </w:rPr>
              <w:t xml:space="preserve"> </w:t>
            </w:r>
            <w:r w:rsidR="00DF1CD9">
              <w:rPr>
                <w:rFonts w:ascii="Arial" w:hAnsi="Arial"/>
                <w:sz w:val="22"/>
              </w:rPr>
              <w:t>untersuchen.</w:t>
            </w:r>
          </w:p>
        </w:tc>
      </w:tr>
      <w:tr w:rsidR="007D13FB" w:rsidRPr="0045068C" w:rsidTr="00A3038D">
        <w:trPr>
          <w:trHeight w:val="987"/>
        </w:trPr>
        <w:tc>
          <w:tcPr>
            <w:tcW w:w="4928" w:type="dxa"/>
            <w:tcBorders>
              <w:bottom w:val="single" w:sz="4" w:space="0" w:color="auto"/>
            </w:tcBorders>
          </w:tcPr>
          <w:p w:rsidR="007D13FB" w:rsidRPr="0045068C" w:rsidRDefault="007D13FB" w:rsidP="00A3038D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45068C">
              <w:rPr>
                <w:rFonts w:ascii="Arial" w:hAnsi="Arial"/>
                <w:b/>
                <w:sz w:val="22"/>
              </w:rPr>
              <w:t>prozessbezogene Kompetenzen</w:t>
            </w:r>
          </w:p>
          <w:p w:rsidR="007D13FB" w:rsidRPr="0045068C" w:rsidRDefault="007D13FB" w:rsidP="00A3038D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45068C">
              <w:rPr>
                <w:rFonts w:ascii="Arial" w:hAnsi="Arial"/>
                <w:sz w:val="22"/>
              </w:rPr>
              <w:sym w:font="Wingdings" w:char="F0EA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D13FB" w:rsidRPr="0045068C" w:rsidRDefault="007D13FB" w:rsidP="00A3038D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45068C">
              <w:rPr>
                <w:rFonts w:ascii="Arial" w:hAnsi="Arial"/>
                <w:b/>
                <w:sz w:val="22"/>
              </w:rPr>
              <w:t>inhaltsbezogene Kompetenzen</w:t>
            </w:r>
          </w:p>
          <w:p w:rsidR="007D13FB" w:rsidRPr="0045068C" w:rsidRDefault="007D13FB" w:rsidP="00A3038D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45068C">
              <w:rPr>
                <w:rFonts w:ascii="Arial" w:hAnsi="Arial"/>
                <w:sz w:val="22"/>
              </w:rPr>
              <w:sym w:font="Wingdings" w:char="F0EA"/>
            </w:r>
          </w:p>
        </w:tc>
      </w:tr>
      <w:tr w:rsidR="007D13FB" w:rsidRPr="00136598" w:rsidTr="00A3038D">
        <w:tc>
          <w:tcPr>
            <w:tcW w:w="4928" w:type="dxa"/>
          </w:tcPr>
          <w:p w:rsidR="007D13FB" w:rsidRPr="00136598" w:rsidRDefault="007D13FB" w:rsidP="00A3038D">
            <w:pPr>
              <w:spacing w:before="120" w:after="120"/>
              <w:rPr>
                <w:rFonts w:ascii="Arial" w:hAnsi="Arial"/>
                <w:color w:val="000000" w:themeColor="text1"/>
              </w:rPr>
            </w:pPr>
            <w:r w:rsidRPr="00136598">
              <w:rPr>
                <w:rFonts w:ascii="Arial" w:hAnsi="Arial"/>
                <w:color w:val="000000" w:themeColor="text1"/>
                <w:sz w:val="22"/>
              </w:rPr>
              <w:t xml:space="preserve">2.1 </w:t>
            </w:r>
            <w:r w:rsidRPr="00136598">
              <w:rPr>
                <w:rFonts w:ascii="Arial" w:hAnsi="Arial"/>
                <w:b/>
                <w:color w:val="000000" w:themeColor="text1"/>
                <w:sz w:val="22"/>
              </w:rPr>
              <w:t>Wahrnehmen und sich hineinversetzen</w:t>
            </w:r>
          </w:p>
          <w:p w:rsidR="00995BA0" w:rsidRPr="00136598" w:rsidRDefault="00F80C1F" w:rsidP="00995BA0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  <w:r w:rsidR="007D13FB" w:rsidRPr="00136598">
              <w:rPr>
                <w:color w:val="000000" w:themeColor="text1"/>
                <w:sz w:val="22"/>
              </w:rPr>
              <w:t>.</w:t>
            </w:r>
            <w:r w:rsidR="007D13FB" w:rsidRPr="00136598">
              <w:rPr>
                <w:color w:val="000000" w:themeColor="text1"/>
              </w:rPr>
              <w:t xml:space="preserve"> </w:t>
            </w:r>
            <w:r w:rsidR="007D13FB" w:rsidRPr="00136598">
              <w:rPr>
                <w:color w:val="000000" w:themeColor="text1"/>
                <w:sz w:val="22"/>
              </w:rPr>
              <w:t>in Situationen, Ereignissen od</w:t>
            </w:r>
            <w:r>
              <w:rPr>
                <w:color w:val="000000" w:themeColor="text1"/>
                <w:sz w:val="22"/>
              </w:rPr>
              <w:t>er Handlungen ethische</w:t>
            </w:r>
            <w:r w:rsidR="007D13FB" w:rsidRPr="00136598">
              <w:rPr>
                <w:color w:val="000000" w:themeColor="text1"/>
                <w:sz w:val="22"/>
              </w:rPr>
              <w:t xml:space="preserve"> Fragestellungen oder Probleme identifizieren</w:t>
            </w:r>
          </w:p>
        </w:tc>
        <w:tc>
          <w:tcPr>
            <w:tcW w:w="4536" w:type="dxa"/>
            <w:vMerge w:val="restart"/>
          </w:tcPr>
          <w:p w:rsidR="00BD7021" w:rsidRPr="00136598" w:rsidRDefault="00BD7021" w:rsidP="00A3038D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6598">
              <w:rPr>
                <w:rFonts w:ascii="Arial" w:hAnsi="Arial" w:cs="Arial"/>
                <w:color w:val="000000" w:themeColor="text1"/>
                <w:sz w:val="20"/>
                <w:szCs w:val="20"/>
              </w:rPr>
              <w:t>3.1.6 (1) die Bedeutung der monotheistischen Weltreligionen als kulturelles Phänomen (zum Beispiel Stadtbild, Kalender, Kunst, Medien) darstellen und sich damit auseinandersetzen</w:t>
            </w:r>
          </w:p>
          <w:p w:rsidR="00BD7021" w:rsidRPr="00136598" w:rsidRDefault="00BD7021" w:rsidP="00A3038D">
            <w:pPr>
              <w:spacing w:before="120" w:after="12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BD7021" w:rsidRPr="00136598" w:rsidRDefault="00BD7021" w:rsidP="00A3038D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65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3.1.6 (2) den Stellenwert des </w:t>
            </w:r>
            <w:r w:rsidRPr="00F30074">
              <w:rPr>
                <w:rStyle w:val="BPIKTeilkompetenzkursiv"/>
                <w:rFonts w:cs="Arial"/>
                <w:i w:val="0"/>
                <w:color w:val="000000" w:themeColor="text1"/>
                <w:szCs w:val="20"/>
              </w:rPr>
              <w:t>Glaubens</w:t>
            </w:r>
            <w:r w:rsidRPr="001365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für das Leben der Gläubigen im Christentum, Islam und Judentum</w:t>
            </w:r>
            <w:r w:rsidR="002A29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wiedergeben</w:t>
            </w:r>
            <w:r w:rsidRPr="001365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(zum Beispiel Spiritualität, religiöse Riten</w:t>
            </w:r>
            <w:r w:rsidR="00A40A59">
              <w:rPr>
                <w:rFonts w:ascii="Arial" w:hAnsi="Arial" w:cs="Arial"/>
                <w:color w:val="000000" w:themeColor="text1"/>
                <w:sz w:val="20"/>
                <w:szCs w:val="20"/>
              </w:rPr>
              <w:t>, Orientierung</w:t>
            </w:r>
            <w:r w:rsidR="002A297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9B55D3" w:rsidRPr="00136598" w:rsidRDefault="009B55D3" w:rsidP="00A3038D">
            <w:pPr>
              <w:spacing w:before="120" w:after="1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36598">
              <w:rPr>
                <w:rFonts w:ascii="Arial" w:hAnsi="Arial"/>
                <w:color w:val="000000" w:themeColor="text1"/>
                <w:sz w:val="20"/>
                <w:szCs w:val="20"/>
              </w:rPr>
              <w:t>3.1.4</w:t>
            </w:r>
            <w:r w:rsidR="002A2977">
              <w:rPr>
                <w:rFonts w:ascii="Arial" w:hAnsi="Arial"/>
                <w:color w:val="000000" w:themeColor="text1"/>
                <w:sz w:val="20"/>
                <w:szCs w:val="20"/>
              </w:rPr>
              <w:t>.1</w:t>
            </w:r>
            <w:r w:rsidRPr="0013659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(2) unterschiedliche Auffassungen von Armut und Reichtum erläutern und voneinander abgrenzen (beispielsweise Geschichte, Kulturen, Religionen)</w:t>
            </w:r>
          </w:p>
          <w:p w:rsidR="00BD7021" w:rsidRPr="00136598" w:rsidRDefault="00BD7021" w:rsidP="00BD702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6598">
              <w:rPr>
                <w:rFonts w:ascii="Arial" w:hAnsi="Arial" w:cs="Arial"/>
                <w:color w:val="000000" w:themeColor="text1"/>
                <w:sz w:val="20"/>
                <w:szCs w:val="20"/>
              </w:rPr>
              <w:t>3.1.1.2 (4) Verantwortung in ihren ver</w:t>
            </w:r>
            <w:r w:rsidR="002A2977">
              <w:rPr>
                <w:rFonts w:ascii="Arial" w:hAnsi="Arial" w:cs="Arial"/>
                <w:color w:val="000000" w:themeColor="text1"/>
                <w:sz w:val="20"/>
                <w:szCs w:val="20"/>
              </w:rPr>
              <w:t>schiedenen Dimensionen benennen (zum Beispiel wer, vor wem, wofür, weswegen, wann)</w:t>
            </w:r>
          </w:p>
          <w:p w:rsidR="002A2977" w:rsidRPr="002A2977" w:rsidRDefault="002A2977" w:rsidP="0099018B">
            <w:pPr>
              <w:spacing w:before="120" w:after="120"/>
              <w:rPr>
                <w:rFonts w:ascii="Arial" w:hAnsi="Arial"/>
                <w:color w:val="000000" w:themeColor="text1"/>
                <w:sz w:val="4"/>
                <w:szCs w:val="4"/>
              </w:rPr>
            </w:pPr>
          </w:p>
          <w:p w:rsidR="0099018B" w:rsidRPr="00136598" w:rsidRDefault="00A40A59" w:rsidP="0099018B">
            <w:pPr>
              <w:spacing w:before="120" w:after="1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3.1.4</w:t>
            </w:r>
            <w:r w:rsidR="002A2977">
              <w:rPr>
                <w:rFonts w:ascii="Arial" w:hAnsi="Arial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(3</w:t>
            </w:r>
            <w:r w:rsidR="0099018B" w:rsidRPr="00136598">
              <w:rPr>
                <w:rFonts w:ascii="Arial" w:hAnsi="Arial"/>
                <w:color w:val="000000" w:themeColor="text1"/>
                <w:sz w:val="20"/>
                <w:szCs w:val="20"/>
              </w:rPr>
              <w:t>) Auswirkungen von Armut und Reichtum auf die Möglichkeiten eines selbstbestimmten Lebens beschreiben und im Hinblick auf Gerechtigkeitsvorstellungen beurteilen</w:t>
            </w:r>
          </w:p>
          <w:p w:rsidR="007D13FB" w:rsidRPr="00136598" w:rsidRDefault="009B55D3" w:rsidP="00C160F3">
            <w:pPr>
              <w:spacing w:before="120" w:after="1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36598">
              <w:rPr>
                <w:rFonts w:ascii="Arial" w:hAnsi="Arial"/>
                <w:color w:val="000000" w:themeColor="text1"/>
                <w:sz w:val="20"/>
                <w:szCs w:val="20"/>
              </w:rPr>
              <w:t>3.1.4</w:t>
            </w:r>
            <w:r w:rsidR="002A2977">
              <w:rPr>
                <w:rFonts w:ascii="Arial" w:hAnsi="Arial"/>
                <w:color w:val="000000" w:themeColor="text1"/>
                <w:sz w:val="20"/>
                <w:szCs w:val="20"/>
              </w:rPr>
              <w:t>.1</w:t>
            </w:r>
            <w:r w:rsidRPr="0013659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A40A59">
              <w:rPr>
                <w:rFonts w:ascii="Arial" w:hAnsi="Arial"/>
                <w:color w:val="000000" w:themeColor="text1"/>
                <w:sz w:val="20"/>
                <w:szCs w:val="20"/>
              </w:rPr>
              <w:t>(5</w:t>
            </w:r>
            <w:r w:rsidR="007D13FB" w:rsidRPr="00136598">
              <w:rPr>
                <w:rFonts w:ascii="Arial" w:hAnsi="Arial"/>
                <w:color w:val="000000" w:themeColor="text1"/>
                <w:sz w:val="20"/>
                <w:szCs w:val="20"/>
              </w:rPr>
              <w:t>) Handlungsmöglichkeiten zur Sicherung menschenwürdiger und gerechter Lebensverhältnisse im eigenen Lebensumfeld darlegen und diskutieren</w:t>
            </w:r>
            <w:r w:rsidR="002A297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2A2977">
              <w:rPr>
                <w:rFonts w:ascii="Arial" w:hAnsi="Arial" w:cs="Arial"/>
                <w:color w:val="000000" w:themeColor="text1"/>
                <w:sz w:val="20"/>
                <w:szCs w:val="20"/>
              </w:rPr>
              <w:t>(beispielsweise bezogen auf Konsum, soziales Engagement, Fair Trade)</w:t>
            </w:r>
          </w:p>
          <w:p w:rsidR="00136598" w:rsidRPr="00136598" w:rsidRDefault="00BD7021" w:rsidP="002A297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6598">
              <w:rPr>
                <w:rFonts w:ascii="Arial" w:hAnsi="Arial" w:cs="Arial"/>
                <w:color w:val="000000" w:themeColor="text1"/>
                <w:sz w:val="20"/>
                <w:szCs w:val="20"/>
              </w:rPr>
              <w:t>3.1.1.3 (5) verantwortliches Handeln im Hinblick auf gerechte Lebensver</w:t>
            </w:r>
            <w:r w:rsidR="00343795">
              <w:rPr>
                <w:rFonts w:ascii="Arial" w:hAnsi="Arial" w:cs="Arial"/>
                <w:color w:val="000000" w:themeColor="text1"/>
                <w:sz w:val="20"/>
                <w:szCs w:val="20"/>
              </w:rPr>
              <w:t>hältnisse entwerfen</w:t>
            </w:r>
            <w:r w:rsidR="00A40A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 </w:t>
            </w:r>
            <w:r w:rsidR="00343795">
              <w:rPr>
                <w:rFonts w:ascii="Arial" w:hAnsi="Arial" w:cs="Arial"/>
                <w:color w:val="000000" w:themeColor="text1"/>
                <w:sz w:val="20"/>
                <w:szCs w:val="20"/>
              </w:rPr>
              <w:t>bewerten</w:t>
            </w:r>
          </w:p>
        </w:tc>
      </w:tr>
      <w:tr w:rsidR="007D13FB" w:rsidRPr="00136598" w:rsidTr="00A3038D">
        <w:tc>
          <w:tcPr>
            <w:tcW w:w="4928" w:type="dxa"/>
          </w:tcPr>
          <w:p w:rsidR="007D13FB" w:rsidRPr="00136598" w:rsidRDefault="007D13FB" w:rsidP="00A3038D">
            <w:pPr>
              <w:spacing w:before="120" w:after="120"/>
              <w:rPr>
                <w:rFonts w:ascii="Arial" w:hAnsi="Arial"/>
                <w:color w:val="000000" w:themeColor="text1"/>
              </w:rPr>
            </w:pPr>
            <w:r w:rsidRPr="00136598">
              <w:rPr>
                <w:rFonts w:ascii="Arial" w:hAnsi="Arial"/>
                <w:color w:val="000000" w:themeColor="text1"/>
                <w:sz w:val="22"/>
              </w:rPr>
              <w:t xml:space="preserve">2.2 </w:t>
            </w:r>
            <w:r w:rsidRPr="00136598">
              <w:rPr>
                <w:rFonts w:ascii="Arial" w:hAnsi="Arial"/>
                <w:b/>
                <w:color w:val="000000" w:themeColor="text1"/>
                <w:sz w:val="22"/>
              </w:rPr>
              <w:t>Analysieren und interpretieren</w:t>
            </w:r>
          </w:p>
          <w:p w:rsidR="007D13FB" w:rsidRPr="00136598" w:rsidRDefault="007D13FB" w:rsidP="00A3038D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284" w:hanging="284"/>
              <w:rPr>
                <w:color w:val="000000" w:themeColor="text1"/>
                <w:sz w:val="22"/>
              </w:rPr>
            </w:pPr>
            <w:r w:rsidRPr="00136598">
              <w:rPr>
                <w:color w:val="000000" w:themeColor="text1"/>
                <w:sz w:val="22"/>
              </w:rPr>
              <w:t>1. Informationen aus verschiedene</w:t>
            </w:r>
            <w:r w:rsidR="00F80C1F">
              <w:rPr>
                <w:color w:val="000000" w:themeColor="text1"/>
                <w:sz w:val="22"/>
              </w:rPr>
              <w:t xml:space="preserve">n Quellen </w:t>
            </w:r>
            <w:r w:rsidRPr="00136598">
              <w:rPr>
                <w:color w:val="000000" w:themeColor="text1"/>
                <w:sz w:val="22"/>
              </w:rPr>
              <w:t>als Denkanstoß für</w:t>
            </w:r>
            <w:r w:rsidR="00F80C1F">
              <w:rPr>
                <w:color w:val="000000" w:themeColor="text1"/>
                <w:sz w:val="22"/>
              </w:rPr>
              <w:t xml:space="preserve"> die Deutung ethisch relevanter</w:t>
            </w:r>
            <w:r w:rsidRPr="00136598">
              <w:rPr>
                <w:color w:val="000000" w:themeColor="text1"/>
                <w:sz w:val="22"/>
              </w:rPr>
              <w:t xml:space="preserve"> Sachve</w:t>
            </w:r>
            <w:r w:rsidR="00F80C1F">
              <w:rPr>
                <w:color w:val="000000" w:themeColor="text1"/>
                <w:sz w:val="22"/>
              </w:rPr>
              <w:t>rhalte erschließen</w:t>
            </w:r>
          </w:p>
          <w:p w:rsidR="007D13FB" w:rsidRPr="00136598" w:rsidRDefault="00F80C1F" w:rsidP="00995BA0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284" w:hanging="284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</w:t>
            </w:r>
            <w:r w:rsidR="00D435A0" w:rsidRPr="00136598">
              <w:rPr>
                <w:color w:val="000000" w:themeColor="text1"/>
                <w:sz w:val="22"/>
              </w:rPr>
              <w:t>. die Interessenlage der Beteiligten</w:t>
            </w:r>
            <w:r>
              <w:rPr>
                <w:color w:val="000000" w:themeColor="text1"/>
                <w:sz w:val="22"/>
              </w:rPr>
              <w:t xml:space="preserve"> und Betroffenen</w:t>
            </w:r>
            <w:r w:rsidR="00D435A0" w:rsidRPr="00136598">
              <w:rPr>
                <w:color w:val="000000" w:themeColor="text1"/>
                <w:sz w:val="22"/>
              </w:rPr>
              <w:t>, die zugrundeliegenden Wertvorstellungen und mögliche Wertekonflikte erläutern</w:t>
            </w:r>
          </w:p>
          <w:p w:rsidR="00136598" w:rsidRPr="00136598" w:rsidRDefault="001212E5" w:rsidP="001212E5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284" w:hanging="284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8. Argumentationen für die Deutung ethisch-moralischer Sachverhalte erarbeiten und einordnen</w:t>
            </w:r>
          </w:p>
        </w:tc>
        <w:tc>
          <w:tcPr>
            <w:tcW w:w="4536" w:type="dxa"/>
            <w:vMerge/>
          </w:tcPr>
          <w:p w:rsidR="007D13FB" w:rsidRPr="00136598" w:rsidRDefault="007D13FB" w:rsidP="00A3038D">
            <w:pPr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7D13FB" w:rsidRPr="00136598" w:rsidTr="00A3038D">
        <w:tc>
          <w:tcPr>
            <w:tcW w:w="4928" w:type="dxa"/>
          </w:tcPr>
          <w:p w:rsidR="007D13FB" w:rsidRPr="00136598" w:rsidRDefault="007D13FB" w:rsidP="00A3038D">
            <w:pPr>
              <w:spacing w:before="120" w:after="120"/>
              <w:rPr>
                <w:rFonts w:ascii="Arial" w:hAnsi="Arial"/>
                <w:b/>
                <w:color w:val="000000" w:themeColor="text1"/>
              </w:rPr>
            </w:pPr>
            <w:r w:rsidRPr="00136598">
              <w:rPr>
                <w:rFonts w:ascii="Arial" w:hAnsi="Arial"/>
                <w:color w:val="000000" w:themeColor="text1"/>
                <w:sz w:val="22"/>
              </w:rPr>
              <w:t xml:space="preserve">2.3 </w:t>
            </w:r>
            <w:r w:rsidRPr="00136598">
              <w:rPr>
                <w:rFonts w:ascii="Arial" w:hAnsi="Arial"/>
                <w:b/>
                <w:color w:val="000000" w:themeColor="text1"/>
                <w:sz w:val="22"/>
              </w:rPr>
              <w:t>Argumentieren und reflektieren</w:t>
            </w:r>
          </w:p>
          <w:p w:rsidR="007D13FB" w:rsidRPr="001212E5" w:rsidRDefault="00D435A0" w:rsidP="001212E5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000000" w:themeColor="text1"/>
              </w:rPr>
            </w:pPr>
            <w:r w:rsidRPr="00136598">
              <w:rPr>
                <w:color w:val="000000" w:themeColor="text1"/>
                <w:sz w:val="22"/>
              </w:rPr>
              <w:t>5. Werte un</w:t>
            </w:r>
            <w:r w:rsidR="00207BE2">
              <w:rPr>
                <w:color w:val="000000" w:themeColor="text1"/>
                <w:sz w:val="22"/>
              </w:rPr>
              <w:t>d Normen bei ethischen</w:t>
            </w:r>
            <w:r w:rsidRPr="00136598">
              <w:rPr>
                <w:color w:val="000000" w:themeColor="text1"/>
                <w:sz w:val="22"/>
              </w:rPr>
              <w:t xml:space="preserve"> Frage- und Problemstellungen diskutieren</w:t>
            </w:r>
          </w:p>
        </w:tc>
        <w:tc>
          <w:tcPr>
            <w:tcW w:w="4536" w:type="dxa"/>
            <w:vMerge/>
          </w:tcPr>
          <w:p w:rsidR="007D13FB" w:rsidRPr="00136598" w:rsidRDefault="007D13FB" w:rsidP="00A3038D">
            <w:pPr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7D13FB" w:rsidRPr="00136598" w:rsidTr="00A3038D">
        <w:trPr>
          <w:trHeight w:val="917"/>
        </w:trPr>
        <w:tc>
          <w:tcPr>
            <w:tcW w:w="4928" w:type="dxa"/>
            <w:vMerge w:val="restart"/>
            <w:shd w:val="clear" w:color="auto" w:fill="auto"/>
          </w:tcPr>
          <w:p w:rsidR="007D13FB" w:rsidRPr="00136598" w:rsidRDefault="007D13FB" w:rsidP="00A3038D">
            <w:pPr>
              <w:spacing w:before="120" w:after="120"/>
              <w:rPr>
                <w:rFonts w:ascii="Arial" w:hAnsi="Arial"/>
                <w:color w:val="000000" w:themeColor="text1"/>
              </w:rPr>
            </w:pPr>
            <w:r w:rsidRPr="00136598">
              <w:rPr>
                <w:rFonts w:ascii="Arial" w:hAnsi="Arial"/>
                <w:color w:val="000000" w:themeColor="text1"/>
                <w:sz w:val="22"/>
              </w:rPr>
              <w:t xml:space="preserve">2.4 </w:t>
            </w:r>
            <w:r w:rsidRPr="00136598">
              <w:rPr>
                <w:rFonts w:ascii="Arial" w:hAnsi="Arial"/>
                <w:b/>
                <w:color w:val="000000" w:themeColor="text1"/>
                <w:sz w:val="22"/>
              </w:rPr>
              <w:t>Beurteilen und (sich) entscheiden</w:t>
            </w:r>
          </w:p>
          <w:p w:rsidR="00D435A0" w:rsidRPr="00136598" w:rsidRDefault="00D435A0" w:rsidP="00A3038D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284" w:hanging="284"/>
              <w:rPr>
                <w:color w:val="000000" w:themeColor="text1"/>
                <w:sz w:val="22"/>
              </w:rPr>
            </w:pPr>
            <w:r w:rsidRPr="00136598">
              <w:rPr>
                <w:color w:val="000000" w:themeColor="text1"/>
                <w:sz w:val="22"/>
                <w:szCs w:val="22"/>
              </w:rPr>
              <w:t>2.</w:t>
            </w:r>
            <w:r w:rsidR="007D13FB" w:rsidRPr="0013659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6598">
              <w:rPr>
                <w:color w:val="000000" w:themeColor="text1"/>
                <w:sz w:val="22"/>
                <w:szCs w:val="22"/>
              </w:rPr>
              <w:t>verschiedene Begründungen (beispielsweise Autorität, Rel</w:t>
            </w:r>
            <w:r w:rsidR="00647E89">
              <w:rPr>
                <w:color w:val="000000" w:themeColor="text1"/>
                <w:sz w:val="22"/>
                <w:szCs w:val="22"/>
              </w:rPr>
              <w:t>igion, Tradition, Konvention)</w:t>
            </w:r>
            <w:r w:rsidRPr="00136598">
              <w:rPr>
                <w:color w:val="000000" w:themeColor="text1"/>
                <w:sz w:val="22"/>
                <w:szCs w:val="22"/>
              </w:rPr>
              <w:t xml:space="preserve"> bewerten und gewichten</w:t>
            </w:r>
          </w:p>
          <w:p w:rsidR="007D13FB" w:rsidRPr="00136598" w:rsidRDefault="007D13FB" w:rsidP="00995BA0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284" w:hanging="284"/>
              <w:rPr>
                <w:color w:val="000000" w:themeColor="text1"/>
                <w:sz w:val="22"/>
              </w:rPr>
            </w:pPr>
            <w:r w:rsidRPr="00136598">
              <w:rPr>
                <w:color w:val="000000" w:themeColor="text1"/>
                <w:sz w:val="22"/>
              </w:rPr>
              <w:t>4. eigene begründete Standpunkte entwickeln</w:t>
            </w:r>
          </w:p>
        </w:tc>
        <w:tc>
          <w:tcPr>
            <w:tcW w:w="4536" w:type="dxa"/>
            <w:vMerge/>
          </w:tcPr>
          <w:p w:rsidR="007D13FB" w:rsidRPr="00136598" w:rsidRDefault="007D13FB" w:rsidP="00A3038D">
            <w:pPr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7D13FB" w:rsidRPr="00136598" w:rsidTr="00A3038D">
        <w:trPr>
          <w:trHeight w:val="1144"/>
        </w:trPr>
        <w:tc>
          <w:tcPr>
            <w:tcW w:w="4928" w:type="dxa"/>
            <w:vMerge/>
            <w:shd w:val="clear" w:color="auto" w:fill="auto"/>
          </w:tcPr>
          <w:p w:rsidR="007D13FB" w:rsidRPr="00136598" w:rsidRDefault="007D13FB" w:rsidP="00A3038D">
            <w:pPr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7D13FB" w:rsidRPr="00136598" w:rsidRDefault="007D13FB" w:rsidP="00A3038D">
            <w:pPr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7D13FB" w:rsidRPr="00136598" w:rsidTr="00A3038D">
        <w:trPr>
          <w:trHeight w:val="516"/>
        </w:trPr>
        <w:tc>
          <w:tcPr>
            <w:tcW w:w="4928" w:type="dxa"/>
            <w:vMerge/>
            <w:shd w:val="clear" w:color="auto" w:fill="auto"/>
          </w:tcPr>
          <w:p w:rsidR="007D13FB" w:rsidRPr="00136598" w:rsidRDefault="007D13FB" w:rsidP="00A3038D">
            <w:pPr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7D13FB" w:rsidRPr="00136598" w:rsidRDefault="007D13FB" w:rsidP="00A3038D">
            <w:pPr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</w:tbl>
    <w:p w:rsidR="00BA78AC" w:rsidRDefault="00BA78AC" w:rsidP="001212E5"/>
    <w:sectPr w:rsidR="00BA78AC" w:rsidSect="00995BA0">
      <w:pgSz w:w="1190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B9A"/>
    <w:multiLevelType w:val="hybridMultilevel"/>
    <w:tmpl w:val="7A5E0C36"/>
    <w:lvl w:ilvl="0" w:tplc="4670990C">
      <w:start w:val="1"/>
      <w:numFmt w:val="decimal"/>
      <w:pStyle w:val="BPPKTeilkompetenzList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D13FB"/>
    <w:rsid w:val="00044B80"/>
    <w:rsid w:val="001212E5"/>
    <w:rsid w:val="00136598"/>
    <w:rsid w:val="00207BE2"/>
    <w:rsid w:val="00225EAA"/>
    <w:rsid w:val="00237823"/>
    <w:rsid w:val="002A2977"/>
    <w:rsid w:val="002A7E3C"/>
    <w:rsid w:val="002D38CF"/>
    <w:rsid w:val="00343795"/>
    <w:rsid w:val="003663A3"/>
    <w:rsid w:val="003E5C29"/>
    <w:rsid w:val="00445208"/>
    <w:rsid w:val="004C7894"/>
    <w:rsid w:val="004E1DA7"/>
    <w:rsid w:val="00535442"/>
    <w:rsid w:val="00572780"/>
    <w:rsid w:val="005E7CDB"/>
    <w:rsid w:val="005F5710"/>
    <w:rsid w:val="00647E89"/>
    <w:rsid w:val="006D6400"/>
    <w:rsid w:val="00717881"/>
    <w:rsid w:val="007D13FB"/>
    <w:rsid w:val="007F5EDE"/>
    <w:rsid w:val="00904EAF"/>
    <w:rsid w:val="0099018B"/>
    <w:rsid w:val="00995BA0"/>
    <w:rsid w:val="009B55D3"/>
    <w:rsid w:val="00A20236"/>
    <w:rsid w:val="00A40A59"/>
    <w:rsid w:val="00A77C97"/>
    <w:rsid w:val="00A927D8"/>
    <w:rsid w:val="00AC00B8"/>
    <w:rsid w:val="00B75026"/>
    <w:rsid w:val="00BA78AC"/>
    <w:rsid w:val="00BD7021"/>
    <w:rsid w:val="00C160F3"/>
    <w:rsid w:val="00CD445E"/>
    <w:rsid w:val="00D05BE7"/>
    <w:rsid w:val="00D435A0"/>
    <w:rsid w:val="00D728E9"/>
    <w:rsid w:val="00DD1177"/>
    <w:rsid w:val="00DF1CD9"/>
    <w:rsid w:val="00E3389A"/>
    <w:rsid w:val="00E44721"/>
    <w:rsid w:val="00E8598F"/>
    <w:rsid w:val="00EF2F15"/>
    <w:rsid w:val="00F30074"/>
    <w:rsid w:val="00F47EF8"/>
    <w:rsid w:val="00F80C1F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00" w:lineRule="exact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3FB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PKTeilkompetenzListe">
    <w:name w:val="BP_PK_Teilkompetenz_Liste"/>
    <w:basedOn w:val="Standard"/>
    <w:uiPriority w:val="1"/>
    <w:qFormat/>
    <w:rsid w:val="007D13FB"/>
    <w:pPr>
      <w:numPr>
        <w:numId w:val="1"/>
      </w:numPr>
      <w:spacing w:before="60" w:after="60" w:line="360" w:lineRule="auto"/>
    </w:pPr>
    <w:rPr>
      <w:rFonts w:ascii="Arial" w:eastAsia="Calibri" w:hAnsi="Arial" w:cs="Arial"/>
      <w:sz w:val="20"/>
    </w:rPr>
  </w:style>
  <w:style w:type="paragraph" w:customStyle="1" w:styleId="BPIKTeilkompetenzBeschreibung">
    <w:name w:val="BP_IK_Teilkompetenz_Beschreibung"/>
    <w:basedOn w:val="Standard"/>
    <w:uiPriority w:val="1"/>
    <w:qFormat/>
    <w:rsid w:val="00BD7021"/>
    <w:pPr>
      <w:tabs>
        <w:tab w:val="left" w:pos="408"/>
      </w:tabs>
      <w:spacing w:line="276" w:lineRule="auto"/>
      <w:jc w:val="both"/>
    </w:pPr>
    <w:rPr>
      <w:rFonts w:ascii="Arial" w:hAnsi="Arial"/>
      <w:sz w:val="20"/>
    </w:rPr>
  </w:style>
  <w:style w:type="character" w:customStyle="1" w:styleId="BPIKTeilkompetenzkursiv">
    <w:name w:val="BP_IK_Teilkompetenz_kursiv"/>
    <w:uiPriority w:val="1"/>
    <w:qFormat/>
    <w:rsid w:val="00BD7021"/>
    <w:rPr>
      <w:rFonts w:ascii="Arial" w:hAnsi="Arial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remme</dc:creator>
  <cp:lastModifiedBy>remme</cp:lastModifiedBy>
  <cp:revision>28</cp:revision>
  <dcterms:created xsi:type="dcterms:W3CDTF">2015-11-19T19:29:00Z</dcterms:created>
  <dcterms:modified xsi:type="dcterms:W3CDTF">2016-01-30T13:55:00Z</dcterms:modified>
</cp:coreProperties>
</file>