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10D" w:rsidRDefault="0003310D" w:rsidP="0003310D">
      <w:pPr>
        <w:jc w:val="center"/>
        <w:rPr>
          <w:rFonts w:ascii="Baskerville Old Face" w:hAnsi="Baskerville Old Face" w:cs="Arial"/>
          <w:b/>
          <w:sz w:val="28"/>
          <w:szCs w:val="28"/>
          <w:u w:val="single"/>
        </w:rPr>
      </w:pPr>
      <w:bookmarkStart w:id="0" w:name="_GoBack"/>
      <w:bookmarkEnd w:id="0"/>
      <w:r w:rsidRPr="00055E98">
        <w:rPr>
          <w:rFonts w:ascii="Baskerville Old Face" w:hAnsi="Baskerville Old Face" w:cs="Arial"/>
          <w:b/>
          <w:sz w:val="28"/>
          <w:szCs w:val="28"/>
          <w:u w:val="single"/>
        </w:rPr>
        <w:t xml:space="preserve">Aspekte der </w:t>
      </w:r>
      <w:r>
        <w:rPr>
          <w:rFonts w:ascii="Baskerville Old Face" w:hAnsi="Baskerville Old Face" w:cs="Arial"/>
          <w:b/>
          <w:sz w:val="28"/>
          <w:szCs w:val="28"/>
          <w:u w:val="single"/>
        </w:rPr>
        <w:t xml:space="preserve">Interpretation und </w:t>
      </w:r>
      <w:r w:rsidRPr="00055E98">
        <w:rPr>
          <w:rFonts w:ascii="Baskerville Old Face" w:hAnsi="Baskerville Old Face" w:cs="Arial"/>
          <w:b/>
          <w:sz w:val="28"/>
          <w:szCs w:val="28"/>
          <w:u w:val="single"/>
        </w:rPr>
        <w:t xml:space="preserve">Urteilsbildung am Beispiel von </w:t>
      </w:r>
    </w:p>
    <w:p w:rsidR="0003310D" w:rsidRPr="00055E98" w:rsidRDefault="0091445C" w:rsidP="0003310D">
      <w:pPr>
        <w:jc w:val="center"/>
        <w:rPr>
          <w:rFonts w:ascii="Baskerville Old Face" w:hAnsi="Baskerville Old Face" w:cs="Arial"/>
          <w:b/>
          <w:sz w:val="28"/>
          <w:szCs w:val="28"/>
          <w:u w:val="single"/>
        </w:rPr>
      </w:pPr>
      <w:r>
        <w:rPr>
          <w:rFonts w:ascii="Baskerville Old Face" w:hAnsi="Baskerville Old Face" w:cs="Arial"/>
          <w:b/>
          <w:sz w:val="28"/>
          <w:szCs w:val="28"/>
          <w:u w:val="single"/>
        </w:rPr>
        <w:t>Helmuth Plessner, Ulrich Wehler und Heinrich August Winkler</w:t>
      </w:r>
    </w:p>
    <w:p w:rsidR="0003310D" w:rsidRDefault="0003310D" w:rsidP="0003310D">
      <w:pPr>
        <w:pStyle w:val="KeinLeerraum"/>
        <w:jc w:val="both"/>
        <w:rPr>
          <w:rFonts w:ascii="Arial" w:hAnsi="Arial" w:cs="Arial"/>
        </w:rPr>
      </w:pPr>
      <w:r>
        <w:rPr>
          <w:rFonts w:ascii="Arial" w:hAnsi="Arial" w:cs="Arial"/>
        </w:rPr>
        <w:t>Helmuth Plessner, Die verspätete Nation. Über die Verführbarkeit des bürgerlichen Geistes, Frankfurt am Main 1974</w:t>
      </w:r>
      <w:r w:rsidR="0091445C">
        <w:rPr>
          <w:rFonts w:ascii="Arial" w:hAnsi="Arial" w:cs="Arial"/>
        </w:rPr>
        <w:t xml:space="preserve"> (</w:t>
      </w:r>
      <w:r w:rsidR="0091445C">
        <w:rPr>
          <w:rFonts w:ascii="Arial" w:hAnsi="Arial" w:cs="Arial"/>
          <w:u w:val="single"/>
        </w:rPr>
        <w:t>zuerst:</w:t>
      </w:r>
      <w:r w:rsidR="0091445C">
        <w:rPr>
          <w:rFonts w:ascii="Arial" w:hAnsi="Arial" w:cs="Arial"/>
        </w:rPr>
        <w:t xml:space="preserve"> </w:t>
      </w:r>
      <w:r>
        <w:rPr>
          <w:rFonts w:ascii="Arial" w:hAnsi="Arial" w:cs="Arial"/>
        </w:rPr>
        <w:t xml:space="preserve">1934/35; </w:t>
      </w:r>
      <w:r w:rsidRPr="0091445C">
        <w:rPr>
          <w:rFonts w:ascii="Arial" w:hAnsi="Arial" w:cs="Arial"/>
          <w:u w:val="single"/>
        </w:rPr>
        <w:t>erste Buchausgabe in Deutschland</w:t>
      </w:r>
      <w:r w:rsidR="0091445C">
        <w:rPr>
          <w:rFonts w:ascii="Arial" w:hAnsi="Arial" w:cs="Arial"/>
          <w:u w:val="single"/>
        </w:rPr>
        <w:t>:</w:t>
      </w:r>
      <w:r>
        <w:rPr>
          <w:rFonts w:ascii="Arial" w:hAnsi="Arial" w:cs="Arial"/>
        </w:rPr>
        <w:t xml:space="preserve"> 1959</w:t>
      </w:r>
      <w:r w:rsidR="0091445C">
        <w:rPr>
          <w:rFonts w:ascii="Arial" w:hAnsi="Arial" w:cs="Arial"/>
        </w:rPr>
        <w:t>), S.46f.</w:t>
      </w:r>
    </w:p>
    <w:p w:rsidR="0091445C" w:rsidRDefault="0091445C" w:rsidP="0003310D">
      <w:pPr>
        <w:pStyle w:val="KeinLeerraum"/>
        <w:jc w:val="both"/>
        <w:rPr>
          <w:rFonts w:ascii="Arial" w:hAnsi="Arial" w:cs="Arial"/>
        </w:rPr>
      </w:pPr>
      <w:r>
        <w:rPr>
          <w:rFonts w:ascii="Arial" w:hAnsi="Arial" w:cs="Arial"/>
        </w:rPr>
        <w:t>Hans-Ulrich Wehler, Deutsche Gesellschaftsgeschichte Band 3: Von der Deutschen Doppel</w:t>
      </w:r>
      <w:r w:rsidR="00D124EE">
        <w:rPr>
          <w:rFonts w:ascii="Arial" w:hAnsi="Arial" w:cs="Arial"/>
        </w:rPr>
        <w:t>-</w:t>
      </w:r>
      <w:r>
        <w:rPr>
          <w:rFonts w:ascii="Arial" w:hAnsi="Arial" w:cs="Arial"/>
        </w:rPr>
        <w:t xml:space="preserve">revolution bis zum Beginn des Ersten Weltkriegs 1849-1914, </w:t>
      </w:r>
      <w:r w:rsidR="00D124EE">
        <w:rPr>
          <w:rFonts w:ascii="Arial" w:hAnsi="Arial" w:cs="Arial"/>
        </w:rPr>
        <w:t xml:space="preserve">München 1995, </w:t>
      </w:r>
      <w:r>
        <w:rPr>
          <w:rFonts w:ascii="Arial" w:hAnsi="Arial" w:cs="Arial"/>
        </w:rPr>
        <w:t>S.482-484.</w:t>
      </w:r>
    </w:p>
    <w:p w:rsidR="0091445C" w:rsidRDefault="0091445C" w:rsidP="0003310D">
      <w:pPr>
        <w:pStyle w:val="KeinLeerraum"/>
        <w:jc w:val="both"/>
        <w:rPr>
          <w:rFonts w:ascii="Arial" w:hAnsi="Arial" w:cs="Arial"/>
        </w:rPr>
      </w:pPr>
      <w:r>
        <w:rPr>
          <w:rFonts w:ascii="Arial" w:hAnsi="Arial" w:cs="Arial"/>
        </w:rPr>
        <w:t xml:space="preserve">Heinrich August Winkler, Der lange Weg nach Westen. Band II: Deutsche Geschichte </w:t>
      </w:r>
      <w:r w:rsidR="00D124EE">
        <w:rPr>
          <w:rFonts w:ascii="Arial" w:hAnsi="Arial" w:cs="Arial"/>
        </w:rPr>
        <w:t xml:space="preserve">vom „Dritten Reich“ bis zur Wiedervereinigung. </w:t>
      </w:r>
      <w:r>
        <w:rPr>
          <w:rFonts w:ascii="Arial" w:hAnsi="Arial" w:cs="Arial"/>
        </w:rPr>
        <w:t>1933-1990,</w:t>
      </w:r>
      <w:r w:rsidR="00D124EE">
        <w:rPr>
          <w:rFonts w:ascii="Arial" w:hAnsi="Arial" w:cs="Arial"/>
        </w:rPr>
        <w:t xml:space="preserve"> München 2000, </w:t>
      </w:r>
      <w:r>
        <w:rPr>
          <w:rFonts w:ascii="Arial" w:hAnsi="Arial" w:cs="Arial"/>
        </w:rPr>
        <w:t>S. 640-648.</w:t>
      </w:r>
    </w:p>
    <w:p w:rsidR="0003310D" w:rsidRDefault="0003310D" w:rsidP="0003310D">
      <w:pPr>
        <w:pStyle w:val="KeinLeerraum"/>
        <w:jc w:val="both"/>
      </w:pPr>
    </w:p>
    <w:p w:rsidR="00CC793C" w:rsidRDefault="00F97A40" w:rsidP="00CC793C">
      <w:pPr>
        <w:spacing w:line="240" w:lineRule="auto"/>
        <w:jc w:val="both"/>
        <w:rPr>
          <w:rFonts w:ascii="Arial" w:hAnsi="Arial" w:cs="Arial"/>
          <w:b/>
          <w:sz w:val="24"/>
          <w:szCs w:val="24"/>
        </w:rPr>
      </w:pPr>
      <w:r>
        <w:rPr>
          <w:rFonts w:ascii="Arial" w:hAnsi="Arial" w:cs="Arial"/>
          <w:b/>
          <w:sz w:val="24"/>
          <w:szCs w:val="24"/>
        </w:rPr>
        <w:t xml:space="preserve">Zentrale </w:t>
      </w:r>
      <w:r w:rsidR="001A6E60">
        <w:rPr>
          <w:rFonts w:ascii="Arial" w:hAnsi="Arial" w:cs="Arial"/>
          <w:b/>
          <w:sz w:val="24"/>
          <w:szCs w:val="24"/>
        </w:rPr>
        <w:t xml:space="preserve">Aussagen </w:t>
      </w:r>
      <w:r>
        <w:rPr>
          <w:rFonts w:ascii="Arial" w:hAnsi="Arial" w:cs="Arial"/>
          <w:b/>
          <w:sz w:val="24"/>
          <w:szCs w:val="24"/>
        </w:rPr>
        <w:t>Plessners</w:t>
      </w:r>
      <w:r w:rsidR="0003310D">
        <w:rPr>
          <w:rFonts w:ascii="Arial" w:hAnsi="Arial" w:cs="Arial"/>
          <w:b/>
          <w:sz w:val="24"/>
          <w:szCs w:val="24"/>
        </w:rPr>
        <w:t>:</w:t>
      </w:r>
    </w:p>
    <w:p w:rsidR="00CC793C" w:rsidRPr="00CC793C" w:rsidRDefault="00CC793C" w:rsidP="00CC793C">
      <w:pPr>
        <w:pStyle w:val="Listenabsatz"/>
        <w:numPr>
          <w:ilvl w:val="0"/>
          <w:numId w:val="4"/>
        </w:numPr>
        <w:spacing w:line="240" w:lineRule="auto"/>
        <w:jc w:val="both"/>
        <w:rPr>
          <w:rFonts w:ascii="Arial" w:hAnsi="Arial" w:cs="Arial"/>
        </w:rPr>
      </w:pPr>
      <w:r w:rsidRPr="00CC793C">
        <w:rPr>
          <w:rFonts w:ascii="Arial" w:hAnsi="Arial" w:cs="Arial"/>
        </w:rPr>
        <w:t>S</w:t>
      </w:r>
      <w:r w:rsidR="0003310D" w:rsidRPr="00CC793C">
        <w:rPr>
          <w:rFonts w:ascii="Arial" w:hAnsi="Arial" w:cs="Arial"/>
        </w:rPr>
        <w:t>eit dem 17. Jahrhundert wachsende Entfremdung „Deutschlands“ von der Entwic</w:t>
      </w:r>
      <w:r w:rsidR="0003310D" w:rsidRPr="00CC793C">
        <w:rPr>
          <w:rFonts w:ascii="Arial" w:hAnsi="Arial" w:cs="Arial"/>
        </w:rPr>
        <w:t>k</w:t>
      </w:r>
      <w:r w:rsidR="0003310D" w:rsidRPr="00CC793C">
        <w:rPr>
          <w:rFonts w:ascii="Arial" w:hAnsi="Arial" w:cs="Arial"/>
        </w:rPr>
        <w:t>lung Westeuropas durch die Glaubensspaltung, verschärft zum einen durch Obri</w:t>
      </w:r>
      <w:r w:rsidR="0003310D" w:rsidRPr="00CC793C">
        <w:rPr>
          <w:rFonts w:ascii="Arial" w:hAnsi="Arial" w:cs="Arial"/>
        </w:rPr>
        <w:t>g</w:t>
      </w:r>
      <w:r w:rsidR="0003310D" w:rsidRPr="00CC793C">
        <w:rPr>
          <w:rFonts w:ascii="Arial" w:hAnsi="Arial" w:cs="Arial"/>
        </w:rPr>
        <w:t xml:space="preserve">keitsfrömmigkeit, Staatsfremdheit und politische Indifferenz der Lutheraner </w:t>
      </w:r>
      <w:r w:rsidR="001A6E60">
        <w:rPr>
          <w:rFonts w:ascii="Arial" w:hAnsi="Arial" w:cs="Arial"/>
        </w:rPr>
        <w:t xml:space="preserve">sowie die </w:t>
      </w:r>
      <w:r w:rsidR="0003310D" w:rsidRPr="00CC793C">
        <w:rPr>
          <w:rFonts w:ascii="Arial" w:hAnsi="Arial" w:cs="Arial"/>
        </w:rPr>
        <w:t xml:space="preserve">Universalität </w:t>
      </w:r>
      <w:r w:rsidR="001A6E60">
        <w:rPr>
          <w:rFonts w:ascii="Arial" w:hAnsi="Arial" w:cs="Arial"/>
        </w:rPr>
        <w:t xml:space="preserve">und </w:t>
      </w:r>
      <w:r w:rsidR="0003310D" w:rsidRPr="00CC793C">
        <w:rPr>
          <w:rFonts w:ascii="Arial" w:hAnsi="Arial" w:cs="Arial"/>
        </w:rPr>
        <w:t>Katholizität des Kaisertums (Blockierung nationaler Gedanken)</w:t>
      </w:r>
      <w:r w:rsidRPr="00CC793C">
        <w:rPr>
          <w:rFonts w:ascii="Arial" w:hAnsi="Arial" w:cs="Arial"/>
        </w:rPr>
        <w:t>.</w:t>
      </w:r>
    </w:p>
    <w:p w:rsidR="00CC793C" w:rsidRPr="00CC793C" w:rsidRDefault="00CC793C" w:rsidP="00CC793C">
      <w:pPr>
        <w:pStyle w:val="Listenabsatz"/>
        <w:numPr>
          <w:ilvl w:val="0"/>
          <w:numId w:val="4"/>
        </w:numPr>
        <w:spacing w:line="240" w:lineRule="auto"/>
        <w:jc w:val="both"/>
        <w:rPr>
          <w:rFonts w:ascii="Arial" w:hAnsi="Arial" w:cs="Arial"/>
        </w:rPr>
      </w:pPr>
      <w:r w:rsidRPr="00CC793C">
        <w:rPr>
          <w:rFonts w:ascii="Arial" w:hAnsi="Arial" w:cs="Arial"/>
        </w:rPr>
        <w:t>N</w:t>
      </w:r>
      <w:r w:rsidR="00F97A40" w:rsidRPr="00CC793C">
        <w:rPr>
          <w:rFonts w:ascii="Arial" w:hAnsi="Arial" w:cs="Arial"/>
        </w:rPr>
        <w:t>ur begrenzter Anteil an der Ausbildung und nur begrenzte Rezeption des Staats- und Völkerrechts</w:t>
      </w:r>
      <w:r w:rsidRPr="00CC793C">
        <w:rPr>
          <w:rFonts w:ascii="Arial" w:hAnsi="Arial" w:cs="Arial"/>
        </w:rPr>
        <w:t>.</w:t>
      </w:r>
    </w:p>
    <w:p w:rsidR="00CC793C" w:rsidRPr="00CC793C" w:rsidRDefault="00F97A40" w:rsidP="00CC793C">
      <w:pPr>
        <w:pStyle w:val="Listenabsatz"/>
        <w:numPr>
          <w:ilvl w:val="0"/>
          <w:numId w:val="4"/>
        </w:numPr>
        <w:spacing w:line="240" w:lineRule="auto"/>
        <w:jc w:val="both"/>
        <w:rPr>
          <w:rFonts w:ascii="Arial" w:hAnsi="Arial" w:cs="Arial"/>
        </w:rPr>
      </w:pPr>
      <w:r w:rsidRPr="00CC793C">
        <w:rPr>
          <w:rFonts w:ascii="Arial" w:hAnsi="Arial" w:cs="Arial"/>
        </w:rPr>
        <w:t>Preußen geprägt von Gottesgnadentum, Militär und Beamtenschaft, d.h. Disziplin, Unterordnung und Gehorsam</w:t>
      </w:r>
      <w:r w:rsidR="00CC793C" w:rsidRPr="00CC793C">
        <w:rPr>
          <w:rFonts w:ascii="Arial" w:hAnsi="Arial" w:cs="Arial"/>
        </w:rPr>
        <w:t>.</w:t>
      </w:r>
    </w:p>
    <w:p w:rsidR="00CC793C" w:rsidRPr="00CC793C" w:rsidRDefault="00CC793C" w:rsidP="00CC793C">
      <w:pPr>
        <w:pStyle w:val="Listenabsatz"/>
        <w:numPr>
          <w:ilvl w:val="0"/>
          <w:numId w:val="4"/>
        </w:numPr>
        <w:spacing w:line="240" w:lineRule="auto"/>
        <w:jc w:val="both"/>
        <w:rPr>
          <w:rFonts w:ascii="Arial" w:hAnsi="Arial" w:cs="Arial"/>
        </w:rPr>
      </w:pPr>
      <w:r w:rsidRPr="00CC793C">
        <w:rPr>
          <w:rFonts w:ascii="Arial" w:hAnsi="Arial" w:cs="Arial"/>
        </w:rPr>
        <w:t>D</w:t>
      </w:r>
      <w:r w:rsidR="00BA3680" w:rsidRPr="00CC793C">
        <w:rPr>
          <w:rFonts w:ascii="Arial" w:hAnsi="Arial" w:cs="Arial"/>
        </w:rPr>
        <w:t>eshalb habe die „Nationalidee“</w:t>
      </w:r>
      <w:r w:rsidR="00F97A40" w:rsidRPr="00CC793C">
        <w:rPr>
          <w:rFonts w:ascii="Arial" w:hAnsi="Arial" w:cs="Arial"/>
        </w:rPr>
        <w:t xml:space="preserve"> </w:t>
      </w:r>
      <w:r w:rsidR="00BA3680" w:rsidRPr="00CC793C">
        <w:rPr>
          <w:rFonts w:ascii="Arial" w:hAnsi="Arial" w:cs="Arial"/>
        </w:rPr>
        <w:t xml:space="preserve">nicht </w:t>
      </w:r>
      <w:r w:rsidR="0028525D">
        <w:rPr>
          <w:rFonts w:ascii="Arial" w:hAnsi="Arial" w:cs="Arial"/>
        </w:rPr>
        <w:t xml:space="preserve">wie </w:t>
      </w:r>
      <w:r w:rsidR="00BA3680" w:rsidRPr="00CC793C">
        <w:rPr>
          <w:rFonts w:ascii="Arial" w:hAnsi="Arial" w:cs="Arial"/>
        </w:rPr>
        <w:t xml:space="preserve">im </w:t>
      </w:r>
      <w:r w:rsidR="00F97A40" w:rsidRPr="00CC793C">
        <w:rPr>
          <w:rFonts w:ascii="Arial" w:hAnsi="Arial" w:cs="Arial"/>
        </w:rPr>
        <w:t>moderne</w:t>
      </w:r>
      <w:r w:rsidR="00BA3680" w:rsidRPr="00CC793C">
        <w:rPr>
          <w:rFonts w:ascii="Arial" w:hAnsi="Arial" w:cs="Arial"/>
        </w:rPr>
        <w:t>ren</w:t>
      </w:r>
      <w:r w:rsidR="00F97A40" w:rsidRPr="00CC793C">
        <w:rPr>
          <w:rFonts w:ascii="Arial" w:hAnsi="Arial" w:cs="Arial"/>
        </w:rPr>
        <w:t xml:space="preserve"> französisc</w:t>
      </w:r>
      <w:r w:rsidR="00BA3680" w:rsidRPr="00CC793C">
        <w:rPr>
          <w:rFonts w:ascii="Arial" w:hAnsi="Arial" w:cs="Arial"/>
        </w:rPr>
        <w:t>hen Absoluti</w:t>
      </w:r>
      <w:r w:rsidR="00BA3680" w:rsidRPr="00CC793C">
        <w:rPr>
          <w:rFonts w:ascii="Arial" w:hAnsi="Arial" w:cs="Arial"/>
        </w:rPr>
        <w:t>s</w:t>
      </w:r>
      <w:r w:rsidR="00BA3680" w:rsidRPr="00CC793C">
        <w:rPr>
          <w:rFonts w:ascii="Arial" w:hAnsi="Arial" w:cs="Arial"/>
        </w:rPr>
        <w:t xml:space="preserve">mus </w:t>
      </w:r>
      <w:r w:rsidR="00F97A40" w:rsidRPr="00CC793C">
        <w:rPr>
          <w:rFonts w:ascii="Arial" w:hAnsi="Arial" w:cs="Arial"/>
        </w:rPr>
        <w:t>wirken</w:t>
      </w:r>
      <w:r w:rsidRPr="00CC793C">
        <w:rPr>
          <w:rFonts w:ascii="Arial" w:hAnsi="Arial" w:cs="Arial"/>
        </w:rPr>
        <w:t xml:space="preserve"> können.</w:t>
      </w:r>
    </w:p>
    <w:p w:rsidR="00CC793C" w:rsidRPr="00CC793C" w:rsidRDefault="00F97A40" w:rsidP="00CC793C">
      <w:pPr>
        <w:pStyle w:val="Listenabsatz"/>
        <w:numPr>
          <w:ilvl w:val="0"/>
          <w:numId w:val="4"/>
        </w:numPr>
        <w:spacing w:line="240" w:lineRule="auto"/>
        <w:jc w:val="both"/>
        <w:rPr>
          <w:rFonts w:ascii="Arial" w:hAnsi="Arial" w:cs="Arial"/>
        </w:rPr>
      </w:pPr>
      <w:r w:rsidRPr="00CC793C">
        <w:rPr>
          <w:rFonts w:ascii="Arial" w:hAnsi="Arial" w:cs="Arial"/>
        </w:rPr>
        <w:t xml:space="preserve">Preußen </w:t>
      </w:r>
      <w:r w:rsidR="00BA3680" w:rsidRPr="00CC793C">
        <w:rPr>
          <w:rFonts w:ascii="Arial" w:hAnsi="Arial" w:cs="Arial"/>
        </w:rPr>
        <w:t>– und damit das deutsche Reich –</w:t>
      </w:r>
      <w:r w:rsidR="005E7249">
        <w:rPr>
          <w:rFonts w:ascii="Arial" w:hAnsi="Arial" w:cs="Arial"/>
        </w:rPr>
        <w:t xml:space="preserve"> seien</w:t>
      </w:r>
      <w:r w:rsidR="00BA3680" w:rsidRPr="00CC793C">
        <w:rPr>
          <w:rFonts w:ascii="Arial" w:hAnsi="Arial" w:cs="Arial"/>
        </w:rPr>
        <w:t xml:space="preserve"> </w:t>
      </w:r>
      <w:r w:rsidR="005E7249">
        <w:rPr>
          <w:rFonts w:ascii="Arial" w:hAnsi="Arial" w:cs="Arial"/>
        </w:rPr>
        <w:t>zu Großmä</w:t>
      </w:r>
      <w:r w:rsidRPr="00CC793C">
        <w:rPr>
          <w:rFonts w:ascii="Arial" w:hAnsi="Arial" w:cs="Arial"/>
        </w:rPr>
        <w:t>cht</w:t>
      </w:r>
      <w:r w:rsidR="005E7249">
        <w:rPr>
          <w:rFonts w:ascii="Arial" w:hAnsi="Arial" w:cs="Arial"/>
        </w:rPr>
        <w:t>en</w:t>
      </w:r>
      <w:r w:rsidRPr="00CC793C">
        <w:rPr>
          <w:rFonts w:ascii="Arial" w:hAnsi="Arial" w:cs="Arial"/>
        </w:rPr>
        <w:t xml:space="preserve"> ohne Staatsidee</w:t>
      </w:r>
      <w:r w:rsidR="00242F18" w:rsidRPr="00CC793C">
        <w:rPr>
          <w:rFonts w:ascii="Arial" w:hAnsi="Arial" w:cs="Arial"/>
        </w:rPr>
        <w:t xml:space="preserve"> geworden</w:t>
      </w:r>
      <w:r w:rsidR="00CC793C" w:rsidRPr="00CC793C">
        <w:rPr>
          <w:rFonts w:ascii="Arial" w:hAnsi="Arial" w:cs="Arial"/>
        </w:rPr>
        <w:t>.</w:t>
      </w:r>
    </w:p>
    <w:p w:rsidR="00F97A40" w:rsidRPr="00CC793C" w:rsidRDefault="00CC793C" w:rsidP="00CC793C">
      <w:pPr>
        <w:pStyle w:val="Listenabsatz"/>
        <w:numPr>
          <w:ilvl w:val="0"/>
          <w:numId w:val="4"/>
        </w:numPr>
        <w:spacing w:line="240" w:lineRule="auto"/>
        <w:jc w:val="both"/>
        <w:rPr>
          <w:rFonts w:ascii="Arial" w:hAnsi="Arial" w:cs="Arial"/>
          <w:sz w:val="24"/>
          <w:szCs w:val="24"/>
        </w:rPr>
      </w:pPr>
      <w:r w:rsidRPr="00CC793C">
        <w:rPr>
          <w:rFonts w:ascii="Arial" w:hAnsi="Arial" w:cs="Arial"/>
        </w:rPr>
        <w:t>O</w:t>
      </w:r>
      <w:r w:rsidR="00BA3680" w:rsidRPr="00CC793C">
        <w:rPr>
          <w:rFonts w:ascii="Arial" w:hAnsi="Arial" w:cs="Arial"/>
        </w:rPr>
        <w:t>hne diese Staatsidee habe d</w:t>
      </w:r>
      <w:r w:rsidR="00F97A40" w:rsidRPr="00CC793C">
        <w:rPr>
          <w:rFonts w:ascii="Arial" w:hAnsi="Arial" w:cs="Arial"/>
        </w:rPr>
        <w:t>as deutsche Reich</w:t>
      </w:r>
      <w:r w:rsidR="00BA3680" w:rsidRPr="00CC793C">
        <w:rPr>
          <w:rFonts w:ascii="Arial" w:hAnsi="Arial" w:cs="Arial"/>
        </w:rPr>
        <w:t xml:space="preserve"> </w:t>
      </w:r>
      <w:r w:rsidR="00242F18" w:rsidRPr="00CC793C">
        <w:rPr>
          <w:rFonts w:ascii="Arial" w:hAnsi="Arial" w:cs="Arial"/>
        </w:rPr>
        <w:t xml:space="preserve">– im Gegensatz zu Frankreich oder England – nicht </w:t>
      </w:r>
      <w:r w:rsidR="00F97A40" w:rsidRPr="00CC793C">
        <w:rPr>
          <w:rFonts w:ascii="Arial" w:hAnsi="Arial" w:cs="Arial"/>
        </w:rPr>
        <w:t>an die Phantasie der Völker</w:t>
      </w:r>
      <w:r w:rsidR="00BA3680" w:rsidRPr="00CC793C">
        <w:rPr>
          <w:rFonts w:ascii="Arial" w:hAnsi="Arial" w:cs="Arial"/>
        </w:rPr>
        <w:t xml:space="preserve"> appellieren können</w:t>
      </w:r>
      <w:r w:rsidRPr="00CC793C">
        <w:rPr>
          <w:rFonts w:ascii="Arial" w:hAnsi="Arial" w:cs="Arial"/>
        </w:rPr>
        <w:t>.</w:t>
      </w:r>
    </w:p>
    <w:p w:rsidR="00CC793C" w:rsidRDefault="00242F18" w:rsidP="00CC793C">
      <w:pPr>
        <w:spacing w:line="240" w:lineRule="auto"/>
        <w:jc w:val="both"/>
        <w:rPr>
          <w:rFonts w:ascii="Arial" w:hAnsi="Arial" w:cs="Arial"/>
          <w:b/>
          <w:sz w:val="24"/>
          <w:szCs w:val="24"/>
        </w:rPr>
      </w:pPr>
      <w:r>
        <w:rPr>
          <w:rFonts w:ascii="Arial" w:hAnsi="Arial" w:cs="Arial"/>
          <w:b/>
          <w:sz w:val="24"/>
          <w:szCs w:val="24"/>
        </w:rPr>
        <w:t xml:space="preserve">Zentrale </w:t>
      </w:r>
      <w:r w:rsidR="001A6E60">
        <w:rPr>
          <w:rFonts w:ascii="Arial" w:hAnsi="Arial" w:cs="Arial"/>
          <w:b/>
          <w:sz w:val="24"/>
          <w:szCs w:val="24"/>
        </w:rPr>
        <w:t xml:space="preserve">Aussagen </w:t>
      </w:r>
      <w:proofErr w:type="spellStart"/>
      <w:r>
        <w:rPr>
          <w:rFonts w:ascii="Arial" w:hAnsi="Arial" w:cs="Arial"/>
          <w:b/>
          <w:sz w:val="24"/>
          <w:szCs w:val="24"/>
        </w:rPr>
        <w:t>Wehlers</w:t>
      </w:r>
      <w:proofErr w:type="spellEnd"/>
      <w:r w:rsidR="001A6E60">
        <w:rPr>
          <w:rFonts w:ascii="Arial" w:hAnsi="Arial" w:cs="Arial"/>
          <w:b/>
          <w:sz w:val="24"/>
          <w:szCs w:val="24"/>
        </w:rPr>
        <w:t xml:space="preserve">: </w:t>
      </w:r>
    </w:p>
    <w:p w:rsidR="00CC793C" w:rsidRPr="00CC793C" w:rsidRDefault="00CC793C" w:rsidP="00CC793C">
      <w:pPr>
        <w:pStyle w:val="Listenabsatz"/>
        <w:numPr>
          <w:ilvl w:val="0"/>
          <w:numId w:val="5"/>
        </w:numPr>
        <w:spacing w:line="240" w:lineRule="auto"/>
        <w:jc w:val="both"/>
        <w:rPr>
          <w:rFonts w:ascii="Arial" w:hAnsi="Arial" w:cs="Arial"/>
        </w:rPr>
      </w:pPr>
      <w:r w:rsidRPr="00CC793C">
        <w:rPr>
          <w:rFonts w:ascii="Arial" w:hAnsi="Arial" w:cs="Arial"/>
        </w:rPr>
        <w:t>Z</w:t>
      </w:r>
      <w:r w:rsidR="00242F18" w:rsidRPr="00CC793C">
        <w:rPr>
          <w:rFonts w:ascii="Arial" w:hAnsi="Arial" w:cs="Arial"/>
        </w:rPr>
        <w:t>u späte Gründu</w:t>
      </w:r>
      <w:r w:rsidRPr="00CC793C">
        <w:rPr>
          <w:rFonts w:ascii="Arial" w:hAnsi="Arial" w:cs="Arial"/>
        </w:rPr>
        <w:t xml:space="preserve">ng des Nationalstaats „von oben“. </w:t>
      </w:r>
    </w:p>
    <w:p w:rsidR="00CC793C" w:rsidRPr="00CC793C" w:rsidRDefault="00242F18" w:rsidP="00CC793C">
      <w:pPr>
        <w:pStyle w:val="Listenabsatz"/>
        <w:numPr>
          <w:ilvl w:val="0"/>
          <w:numId w:val="5"/>
        </w:numPr>
        <w:spacing w:line="240" w:lineRule="auto"/>
        <w:jc w:val="both"/>
        <w:rPr>
          <w:rFonts w:ascii="Arial" w:hAnsi="Arial" w:cs="Arial"/>
        </w:rPr>
      </w:pPr>
      <w:r w:rsidRPr="00CC793C">
        <w:rPr>
          <w:rFonts w:ascii="Arial" w:hAnsi="Arial" w:cs="Arial"/>
        </w:rPr>
        <w:t>Prozess der Nationsbildung habe er</w:t>
      </w:r>
      <w:r w:rsidR="00BA3680" w:rsidRPr="00CC793C">
        <w:rPr>
          <w:rFonts w:ascii="Arial" w:hAnsi="Arial" w:cs="Arial"/>
        </w:rPr>
        <w:t>st</w:t>
      </w:r>
      <w:r w:rsidRPr="00CC793C">
        <w:rPr>
          <w:rFonts w:ascii="Arial" w:hAnsi="Arial" w:cs="Arial"/>
        </w:rPr>
        <w:t xml:space="preserve"> 1871 eingesetzt und zwar im Zeichen der  nach 1866 durchgesetzten Machtverteilung</w:t>
      </w:r>
      <w:r w:rsidR="00CC793C" w:rsidRPr="00CC793C">
        <w:rPr>
          <w:rFonts w:ascii="Arial" w:hAnsi="Arial" w:cs="Arial"/>
        </w:rPr>
        <w:t xml:space="preserve">. </w:t>
      </w:r>
    </w:p>
    <w:p w:rsidR="00CC793C" w:rsidRPr="00CC793C" w:rsidRDefault="00CC793C" w:rsidP="00CC793C">
      <w:pPr>
        <w:pStyle w:val="Listenabsatz"/>
        <w:numPr>
          <w:ilvl w:val="0"/>
          <w:numId w:val="5"/>
        </w:numPr>
        <w:spacing w:line="240" w:lineRule="auto"/>
        <w:jc w:val="both"/>
        <w:rPr>
          <w:rFonts w:ascii="Arial" w:hAnsi="Arial" w:cs="Arial"/>
        </w:rPr>
      </w:pPr>
      <w:r w:rsidRPr="00CC793C">
        <w:rPr>
          <w:rFonts w:ascii="Arial" w:hAnsi="Arial" w:cs="Arial"/>
        </w:rPr>
        <w:t>E</w:t>
      </w:r>
      <w:r w:rsidR="00242F18" w:rsidRPr="00CC793C">
        <w:rPr>
          <w:rFonts w:ascii="Arial" w:hAnsi="Arial" w:cs="Arial"/>
        </w:rPr>
        <w:t>norme Stärkung traditioneller Machtfaktoren in den 1860er Jahren: Triumphe der Armee hätten zum „sozialen Militarismus“ geführt, der Adel habe durch Bismarcks Politik eine zweite Stärkung erlebt und die Bürokratie sei ebenso entscheidend g</w:t>
      </w:r>
      <w:r w:rsidR="00242F18" w:rsidRPr="00CC793C">
        <w:rPr>
          <w:rFonts w:ascii="Arial" w:hAnsi="Arial" w:cs="Arial"/>
        </w:rPr>
        <w:t>e</w:t>
      </w:r>
      <w:r w:rsidR="00242F18" w:rsidRPr="00CC793C">
        <w:rPr>
          <w:rFonts w:ascii="Arial" w:hAnsi="Arial" w:cs="Arial"/>
        </w:rPr>
        <w:t>stärkt worden.</w:t>
      </w:r>
      <w:r w:rsidRPr="00CC793C">
        <w:rPr>
          <w:rFonts w:ascii="Arial" w:hAnsi="Arial" w:cs="Arial"/>
        </w:rPr>
        <w:t xml:space="preserve"> </w:t>
      </w:r>
    </w:p>
    <w:p w:rsidR="00CC793C" w:rsidRPr="00CC793C" w:rsidRDefault="00CC793C" w:rsidP="00CC793C">
      <w:pPr>
        <w:pStyle w:val="Listenabsatz"/>
        <w:numPr>
          <w:ilvl w:val="0"/>
          <w:numId w:val="5"/>
        </w:numPr>
        <w:spacing w:line="240" w:lineRule="auto"/>
        <w:jc w:val="both"/>
        <w:rPr>
          <w:rFonts w:ascii="Arial" w:hAnsi="Arial" w:cs="Arial"/>
        </w:rPr>
      </w:pPr>
      <w:r w:rsidRPr="00CC793C">
        <w:rPr>
          <w:rFonts w:ascii="Arial" w:hAnsi="Arial" w:cs="Arial"/>
        </w:rPr>
        <w:t>A</w:t>
      </w:r>
      <w:r w:rsidR="0091445C" w:rsidRPr="00CC793C">
        <w:rPr>
          <w:rFonts w:ascii="Arial" w:hAnsi="Arial" w:cs="Arial"/>
        </w:rPr>
        <w:t xml:space="preserve">m entscheidendsten </w:t>
      </w:r>
      <w:r w:rsidR="00BA3680" w:rsidRPr="00CC793C">
        <w:rPr>
          <w:rFonts w:ascii="Arial" w:hAnsi="Arial" w:cs="Arial"/>
        </w:rPr>
        <w:t xml:space="preserve">sei </w:t>
      </w:r>
      <w:r w:rsidR="0091445C" w:rsidRPr="00CC793C">
        <w:rPr>
          <w:rFonts w:ascii="Arial" w:hAnsi="Arial" w:cs="Arial"/>
        </w:rPr>
        <w:t xml:space="preserve">freilich die (neue) Erfahrung der charismatischen Herrschaft Bismarcks </w:t>
      </w:r>
      <w:r w:rsidR="00BA3680" w:rsidRPr="00CC793C">
        <w:rPr>
          <w:rFonts w:ascii="Arial" w:hAnsi="Arial" w:cs="Arial"/>
        </w:rPr>
        <w:t xml:space="preserve">gewesen </w:t>
      </w:r>
      <w:r w:rsidR="0091445C" w:rsidRPr="00CC793C">
        <w:rPr>
          <w:rFonts w:ascii="Arial" w:hAnsi="Arial" w:cs="Arial"/>
        </w:rPr>
        <w:t>und durch sie seien Politik, politisches Denken und politische Kultur über zwei Jahrzehnte zutiefst geprägt worden.</w:t>
      </w:r>
    </w:p>
    <w:p w:rsidR="0091445C" w:rsidRPr="00CC793C" w:rsidRDefault="00CC793C" w:rsidP="00CC793C">
      <w:pPr>
        <w:pStyle w:val="Listenabsatz"/>
        <w:numPr>
          <w:ilvl w:val="0"/>
          <w:numId w:val="5"/>
        </w:numPr>
        <w:spacing w:line="240" w:lineRule="auto"/>
        <w:jc w:val="both"/>
        <w:rPr>
          <w:rFonts w:ascii="Arial" w:hAnsi="Arial" w:cs="Arial"/>
          <w:b/>
          <w:sz w:val="24"/>
          <w:szCs w:val="24"/>
        </w:rPr>
      </w:pPr>
      <w:r w:rsidRPr="00CC793C">
        <w:rPr>
          <w:rFonts w:ascii="Arial" w:hAnsi="Arial" w:cs="Arial"/>
        </w:rPr>
        <w:t>Vi</w:t>
      </w:r>
      <w:r w:rsidR="00BA3680" w:rsidRPr="00CC793C">
        <w:rPr>
          <w:rFonts w:ascii="Arial" w:hAnsi="Arial" w:cs="Arial"/>
        </w:rPr>
        <w:t xml:space="preserve">elleicht sei deshalb die </w:t>
      </w:r>
      <w:r w:rsidR="0091445C" w:rsidRPr="00CC793C">
        <w:rPr>
          <w:rFonts w:ascii="Arial" w:hAnsi="Arial" w:cs="Arial"/>
        </w:rPr>
        <w:t>deutsche Mentalität besonders anfällig für Hitler</w:t>
      </w:r>
      <w:r w:rsidR="00BA3680" w:rsidRPr="00CC793C">
        <w:rPr>
          <w:rFonts w:ascii="Arial" w:hAnsi="Arial" w:cs="Arial"/>
        </w:rPr>
        <w:t xml:space="preserve"> gewesen</w:t>
      </w:r>
      <w:r w:rsidR="0091445C" w:rsidRPr="00CC793C">
        <w:rPr>
          <w:rFonts w:ascii="Arial" w:hAnsi="Arial" w:cs="Arial"/>
        </w:rPr>
        <w:t>?</w:t>
      </w:r>
    </w:p>
    <w:p w:rsidR="00CC793C" w:rsidRDefault="0091445C" w:rsidP="00CC793C">
      <w:pPr>
        <w:spacing w:line="240" w:lineRule="auto"/>
        <w:jc w:val="both"/>
        <w:rPr>
          <w:rFonts w:ascii="Arial" w:hAnsi="Arial" w:cs="Arial"/>
          <w:b/>
          <w:sz w:val="24"/>
          <w:szCs w:val="24"/>
        </w:rPr>
      </w:pPr>
      <w:r>
        <w:rPr>
          <w:rFonts w:ascii="Arial" w:hAnsi="Arial" w:cs="Arial"/>
          <w:b/>
          <w:sz w:val="24"/>
          <w:szCs w:val="24"/>
        </w:rPr>
        <w:t>Zentrale Argumente Winklers:</w:t>
      </w:r>
    </w:p>
    <w:p w:rsidR="00CC793C" w:rsidRPr="00CC793C" w:rsidRDefault="00D124EE" w:rsidP="00CC793C">
      <w:pPr>
        <w:pStyle w:val="Listenabsatz"/>
        <w:numPr>
          <w:ilvl w:val="0"/>
          <w:numId w:val="9"/>
        </w:numPr>
        <w:spacing w:line="240" w:lineRule="auto"/>
        <w:jc w:val="both"/>
        <w:rPr>
          <w:rFonts w:ascii="Arial" w:hAnsi="Arial" w:cs="Arial"/>
        </w:rPr>
      </w:pPr>
      <w:r w:rsidRPr="00CC793C">
        <w:rPr>
          <w:rFonts w:ascii="Arial" w:hAnsi="Arial" w:cs="Arial"/>
        </w:rPr>
        <w:t>Ursprung des deutschen Sonderwegs im Heiligen Römischen Reich und dem Reichsmythos, der Glaubensspaltung und dem preußisch-österreichischen Duali</w:t>
      </w:r>
      <w:r w:rsidRPr="00CC793C">
        <w:rPr>
          <w:rFonts w:ascii="Arial" w:hAnsi="Arial" w:cs="Arial"/>
        </w:rPr>
        <w:t>s</w:t>
      </w:r>
      <w:r w:rsidRPr="00CC793C">
        <w:rPr>
          <w:rFonts w:ascii="Arial" w:hAnsi="Arial" w:cs="Arial"/>
        </w:rPr>
        <w:t>mus</w:t>
      </w:r>
      <w:r w:rsidR="00CC793C" w:rsidRPr="00CC793C">
        <w:rPr>
          <w:rFonts w:ascii="Arial" w:hAnsi="Arial" w:cs="Arial"/>
        </w:rPr>
        <w:t xml:space="preserve">. </w:t>
      </w:r>
    </w:p>
    <w:p w:rsidR="00CC793C" w:rsidRPr="00CC793C" w:rsidRDefault="00D124EE" w:rsidP="00CC793C">
      <w:pPr>
        <w:pStyle w:val="Listenabsatz"/>
        <w:numPr>
          <w:ilvl w:val="0"/>
          <w:numId w:val="9"/>
        </w:numPr>
        <w:spacing w:line="240" w:lineRule="auto"/>
        <w:jc w:val="both"/>
        <w:rPr>
          <w:rFonts w:ascii="Arial" w:hAnsi="Arial" w:cs="Arial"/>
        </w:rPr>
      </w:pPr>
      <w:r w:rsidRPr="00CC793C">
        <w:rPr>
          <w:rFonts w:ascii="Arial" w:hAnsi="Arial" w:cs="Arial"/>
        </w:rPr>
        <w:t xml:space="preserve">Verspätung bei Prozess der nationalen Einigung und der Demokratisierung, auch weil Revolution von 1848/49 an der Überforderung des deutschen Liberalismus </w:t>
      </w:r>
      <w:r w:rsidR="005E7249">
        <w:rPr>
          <w:rFonts w:ascii="Arial" w:hAnsi="Arial" w:cs="Arial"/>
        </w:rPr>
        <w:t>ge</w:t>
      </w:r>
      <w:r w:rsidRPr="00CC793C">
        <w:rPr>
          <w:rFonts w:ascii="Arial" w:hAnsi="Arial" w:cs="Arial"/>
        </w:rPr>
        <w:t>sche</w:t>
      </w:r>
      <w:r w:rsidRPr="00CC793C">
        <w:rPr>
          <w:rFonts w:ascii="Arial" w:hAnsi="Arial" w:cs="Arial"/>
        </w:rPr>
        <w:t>i</w:t>
      </w:r>
      <w:r w:rsidRPr="00CC793C">
        <w:rPr>
          <w:rFonts w:ascii="Arial" w:hAnsi="Arial" w:cs="Arial"/>
        </w:rPr>
        <w:t>ter</w:t>
      </w:r>
      <w:r w:rsidR="005E7249">
        <w:rPr>
          <w:rFonts w:ascii="Arial" w:hAnsi="Arial" w:cs="Arial"/>
        </w:rPr>
        <w:t>t sei</w:t>
      </w:r>
      <w:r w:rsidRPr="00CC793C">
        <w:rPr>
          <w:rFonts w:ascii="Arial" w:hAnsi="Arial" w:cs="Arial"/>
        </w:rPr>
        <w:t>.</w:t>
      </w:r>
    </w:p>
    <w:p w:rsidR="00CC793C" w:rsidRPr="00CC793C" w:rsidRDefault="00D124EE" w:rsidP="00CC793C">
      <w:pPr>
        <w:pStyle w:val="Listenabsatz"/>
        <w:numPr>
          <w:ilvl w:val="0"/>
          <w:numId w:val="9"/>
        </w:numPr>
        <w:spacing w:line="240" w:lineRule="auto"/>
        <w:jc w:val="both"/>
        <w:rPr>
          <w:rFonts w:ascii="Arial" w:hAnsi="Arial" w:cs="Arial"/>
        </w:rPr>
      </w:pPr>
      <w:r w:rsidRPr="00CC793C">
        <w:rPr>
          <w:rFonts w:ascii="Arial" w:hAnsi="Arial" w:cs="Arial"/>
        </w:rPr>
        <w:t>Zwar bedeutete Bismarcks Reichsgründung ein Stück weit „Verwestlichung“ des deutschen Reichs, aber seine „Revolution von oben“ und seine Antwort auf die „Fre</w:t>
      </w:r>
      <w:r w:rsidRPr="00CC793C">
        <w:rPr>
          <w:rFonts w:ascii="Arial" w:hAnsi="Arial" w:cs="Arial"/>
        </w:rPr>
        <w:t>i</w:t>
      </w:r>
      <w:r w:rsidRPr="00CC793C">
        <w:rPr>
          <w:rFonts w:ascii="Arial" w:hAnsi="Arial" w:cs="Arial"/>
        </w:rPr>
        <w:t>heitsfrage“ bestätigten den deutschen Sonderweg.</w:t>
      </w:r>
    </w:p>
    <w:p w:rsidR="00CC793C" w:rsidRPr="00CC793C" w:rsidRDefault="00CC793C" w:rsidP="00CC793C">
      <w:pPr>
        <w:pStyle w:val="Listenabsatz"/>
        <w:numPr>
          <w:ilvl w:val="0"/>
          <w:numId w:val="9"/>
        </w:numPr>
        <w:spacing w:line="240" w:lineRule="auto"/>
        <w:jc w:val="both"/>
        <w:rPr>
          <w:rFonts w:ascii="Arial" w:hAnsi="Arial" w:cs="Arial"/>
        </w:rPr>
      </w:pPr>
      <w:r w:rsidRPr="00CC793C">
        <w:rPr>
          <w:rFonts w:ascii="Arial" w:hAnsi="Arial" w:cs="Arial"/>
        </w:rPr>
        <w:t xml:space="preserve">Nur </w:t>
      </w:r>
      <w:r w:rsidR="00470216" w:rsidRPr="00CC793C">
        <w:rPr>
          <w:rFonts w:ascii="Arial" w:hAnsi="Arial" w:cs="Arial"/>
        </w:rPr>
        <w:t>Teilmodernisierungen eines tief vom Mittelalter geprägten Landes hätten zur U</w:t>
      </w:r>
      <w:r w:rsidR="00470216" w:rsidRPr="00CC793C">
        <w:rPr>
          <w:rFonts w:ascii="Arial" w:hAnsi="Arial" w:cs="Arial"/>
        </w:rPr>
        <w:t>n</w:t>
      </w:r>
      <w:r w:rsidR="00470216" w:rsidRPr="00CC793C">
        <w:rPr>
          <w:rFonts w:ascii="Arial" w:hAnsi="Arial" w:cs="Arial"/>
        </w:rPr>
        <w:t>gleichzeitigkeit der Verhältnisse geführt, dem Nebeneinander von „alt“ und „modern“.</w:t>
      </w:r>
    </w:p>
    <w:p w:rsidR="00470216" w:rsidRPr="00CC793C" w:rsidRDefault="00470216" w:rsidP="00CC793C">
      <w:pPr>
        <w:pStyle w:val="Listenabsatz"/>
        <w:numPr>
          <w:ilvl w:val="0"/>
          <w:numId w:val="9"/>
        </w:numPr>
        <w:spacing w:line="240" w:lineRule="auto"/>
        <w:jc w:val="both"/>
        <w:rPr>
          <w:rFonts w:ascii="Arial" w:hAnsi="Arial" w:cs="Arial"/>
          <w:b/>
          <w:sz w:val="24"/>
          <w:szCs w:val="24"/>
        </w:rPr>
      </w:pPr>
      <w:r w:rsidRPr="00CC793C">
        <w:rPr>
          <w:rFonts w:ascii="Arial" w:hAnsi="Arial" w:cs="Arial"/>
        </w:rPr>
        <w:lastRenderedPageBreak/>
        <w:t>Hitlers Herrschaft als „Gipfelpunkt“ der Auflehnung gegen die Ideen des Westens.</w:t>
      </w:r>
    </w:p>
    <w:p w:rsidR="001A6E60" w:rsidRDefault="001A6E60">
      <w:pPr>
        <w:rPr>
          <w:rFonts w:ascii="Arial" w:hAnsi="Arial" w:cs="Arial"/>
          <w:b/>
          <w:sz w:val="24"/>
          <w:szCs w:val="24"/>
        </w:rPr>
      </w:pPr>
      <w:r>
        <w:rPr>
          <w:rFonts w:ascii="Arial" w:hAnsi="Arial" w:cs="Arial"/>
          <w:b/>
          <w:sz w:val="24"/>
          <w:szCs w:val="24"/>
        </w:rPr>
        <w:t>Analyse von Sach- und Werturteilen:</w:t>
      </w:r>
    </w:p>
    <w:p w:rsidR="001A6E60" w:rsidRPr="005E7249" w:rsidRDefault="00A72ED4" w:rsidP="005E7249">
      <w:pPr>
        <w:pStyle w:val="Listenabsatz"/>
        <w:numPr>
          <w:ilvl w:val="0"/>
          <w:numId w:val="11"/>
        </w:numPr>
        <w:jc w:val="both"/>
        <w:rPr>
          <w:rFonts w:ascii="Arial" w:hAnsi="Arial" w:cs="Arial"/>
        </w:rPr>
      </w:pPr>
      <w:r w:rsidRPr="005E7249">
        <w:rPr>
          <w:rFonts w:ascii="Arial" w:hAnsi="Arial" w:cs="Arial"/>
        </w:rPr>
        <w:t>Alle drei Autoren vergleichen den deutschen Nationswerdungsprozess nicht nur mit dem in ihren Augen ‚normalen‘ Prozessen der Nationswerdung und Demokratisierung in England und Frankreich, sondern bewerten die deutsche Entwicklung vom westl</w:t>
      </w:r>
      <w:r w:rsidRPr="005E7249">
        <w:rPr>
          <w:rFonts w:ascii="Arial" w:hAnsi="Arial" w:cs="Arial"/>
        </w:rPr>
        <w:t>i</w:t>
      </w:r>
      <w:r w:rsidRPr="005E7249">
        <w:rPr>
          <w:rFonts w:ascii="Arial" w:hAnsi="Arial" w:cs="Arial"/>
        </w:rPr>
        <w:t>chen Standpunkt aus als „Sonderweg“ und den Zeitpunkt der nationalen Einigung als „verspätet“.</w:t>
      </w:r>
    </w:p>
    <w:p w:rsidR="00A72ED4" w:rsidRPr="005E7249" w:rsidRDefault="00A72ED4" w:rsidP="005E7249">
      <w:pPr>
        <w:pStyle w:val="Listenabsatz"/>
        <w:numPr>
          <w:ilvl w:val="0"/>
          <w:numId w:val="11"/>
        </w:numPr>
        <w:jc w:val="both"/>
        <w:rPr>
          <w:rFonts w:ascii="Arial" w:hAnsi="Arial" w:cs="Arial"/>
        </w:rPr>
      </w:pPr>
      <w:r w:rsidRPr="005E7249">
        <w:rPr>
          <w:rFonts w:ascii="Arial" w:hAnsi="Arial" w:cs="Arial"/>
        </w:rPr>
        <w:t>D.h. jedoch, dass die sachlichen Feststellungen, Deutschland habe einen eigenen, besonderen Weg beschritten und die nationale Einigung sei später erfolgt als in den westlichen Nachbarländern untrennbar mit Werturteil</w:t>
      </w:r>
      <w:r w:rsidR="005E7249" w:rsidRPr="005E7249">
        <w:rPr>
          <w:rFonts w:ascii="Arial" w:hAnsi="Arial" w:cs="Arial"/>
        </w:rPr>
        <w:t>en</w:t>
      </w:r>
      <w:r w:rsidRPr="005E7249">
        <w:rPr>
          <w:rFonts w:ascii="Arial" w:hAnsi="Arial" w:cs="Arial"/>
        </w:rPr>
        <w:t>, in diesem Fall pejorativen Werturteil</w:t>
      </w:r>
      <w:r w:rsidR="005E7249" w:rsidRPr="005E7249">
        <w:rPr>
          <w:rFonts w:ascii="Arial" w:hAnsi="Arial" w:cs="Arial"/>
        </w:rPr>
        <w:t>en,</w:t>
      </w:r>
      <w:r w:rsidRPr="005E7249">
        <w:rPr>
          <w:rFonts w:ascii="Arial" w:hAnsi="Arial" w:cs="Arial"/>
        </w:rPr>
        <w:t xml:space="preserve"> </w:t>
      </w:r>
      <w:r w:rsidR="005E7249" w:rsidRPr="005E7249">
        <w:rPr>
          <w:rFonts w:ascii="Arial" w:hAnsi="Arial" w:cs="Arial"/>
        </w:rPr>
        <w:t>verknüpft ist.</w:t>
      </w:r>
    </w:p>
    <w:p w:rsidR="005E7249" w:rsidRDefault="005E7249" w:rsidP="005E7249">
      <w:pPr>
        <w:pStyle w:val="Listenabsatz"/>
        <w:numPr>
          <w:ilvl w:val="0"/>
          <w:numId w:val="11"/>
        </w:numPr>
        <w:jc w:val="both"/>
        <w:rPr>
          <w:rFonts w:ascii="Arial" w:hAnsi="Arial" w:cs="Arial"/>
        </w:rPr>
      </w:pPr>
      <w:r w:rsidRPr="005E7249">
        <w:rPr>
          <w:rFonts w:ascii="Arial" w:hAnsi="Arial" w:cs="Arial"/>
        </w:rPr>
        <w:t>Dies gilt für viele „Urteile“ aller drei Texte</w:t>
      </w:r>
      <w:r>
        <w:rPr>
          <w:rFonts w:ascii="Arial" w:hAnsi="Arial" w:cs="Arial"/>
        </w:rPr>
        <w:t>.</w:t>
      </w:r>
    </w:p>
    <w:p w:rsidR="005E7249" w:rsidRPr="005E7249" w:rsidRDefault="005E7249" w:rsidP="005E7249">
      <w:pPr>
        <w:pStyle w:val="Listenabsatz"/>
        <w:numPr>
          <w:ilvl w:val="0"/>
          <w:numId w:val="11"/>
        </w:numPr>
        <w:jc w:val="both"/>
        <w:rPr>
          <w:rFonts w:ascii="Arial" w:hAnsi="Arial" w:cs="Arial"/>
        </w:rPr>
      </w:pPr>
      <w:r>
        <w:rPr>
          <w:rFonts w:ascii="Arial" w:hAnsi="Arial" w:cs="Arial"/>
        </w:rPr>
        <w:t>H</w:t>
      </w:r>
      <w:r w:rsidRPr="005E7249">
        <w:rPr>
          <w:rFonts w:ascii="Arial" w:hAnsi="Arial" w:cs="Arial"/>
        </w:rPr>
        <w:t>inzu kommen ‚reine</w:t>
      </w:r>
      <w:r>
        <w:rPr>
          <w:rFonts w:ascii="Arial" w:hAnsi="Arial" w:cs="Arial"/>
        </w:rPr>
        <w:t xml:space="preserve">‘ Werturteile, vor allem bei </w:t>
      </w:r>
      <w:r w:rsidRPr="005E7249">
        <w:rPr>
          <w:rFonts w:ascii="Arial" w:hAnsi="Arial" w:cs="Arial"/>
        </w:rPr>
        <w:t>Pless</w:t>
      </w:r>
      <w:r>
        <w:rPr>
          <w:rFonts w:ascii="Arial" w:hAnsi="Arial" w:cs="Arial"/>
        </w:rPr>
        <w:t>ner, z.B. seine</w:t>
      </w:r>
      <w:r w:rsidRPr="005E7249">
        <w:rPr>
          <w:rFonts w:ascii="Arial" w:hAnsi="Arial" w:cs="Arial"/>
        </w:rPr>
        <w:t xml:space="preserve"> Feststellung Preußen und Deutschland seien „Großmächte ohne –Staatsidee“ gewesen. </w:t>
      </w:r>
    </w:p>
    <w:p w:rsidR="00BA3680" w:rsidRDefault="00BA3680">
      <w:pPr>
        <w:rPr>
          <w:rFonts w:ascii="Arial" w:hAnsi="Arial" w:cs="Arial"/>
          <w:b/>
          <w:sz w:val="24"/>
          <w:szCs w:val="24"/>
        </w:rPr>
      </w:pPr>
      <w:r w:rsidRPr="00BA3680">
        <w:rPr>
          <w:rFonts w:ascii="Arial" w:hAnsi="Arial" w:cs="Arial"/>
          <w:b/>
          <w:sz w:val="24"/>
          <w:szCs w:val="24"/>
        </w:rPr>
        <w:t>Vergleich der drei Darstellungen:</w:t>
      </w:r>
    </w:p>
    <w:p w:rsidR="00BA3680" w:rsidRPr="00822410" w:rsidRDefault="00A330C9" w:rsidP="00822410">
      <w:pPr>
        <w:pStyle w:val="Listenabsatz"/>
        <w:numPr>
          <w:ilvl w:val="0"/>
          <w:numId w:val="10"/>
        </w:numPr>
        <w:jc w:val="both"/>
        <w:rPr>
          <w:rFonts w:ascii="Arial" w:hAnsi="Arial" w:cs="Arial"/>
        </w:rPr>
      </w:pPr>
      <w:r w:rsidRPr="00822410">
        <w:rPr>
          <w:rFonts w:ascii="Arial" w:hAnsi="Arial" w:cs="Arial"/>
        </w:rPr>
        <w:t>A</w:t>
      </w:r>
      <w:r w:rsidR="00BA3680" w:rsidRPr="00822410">
        <w:rPr>
          <w:rFonts w:ascii="Arial" w:hAnsi="Arial" w:cs="Arial"/>
        </w:rPr>
        <w:t>lle drei Autoren stimmen darin überein, dass die deutsche Reichsgründung das E</w:t>
      </w:r>
      <w:r w:rsidR="00BA3680" w:rsidRPr="00822410">
        <w:rPr>
          <w:rFonts w:ascii="Arial" w:hAnsi="Arial" w:cs="Arial"/>
        </w:rPr>
        <w:t>r</w:t>
      </w:r>
      <w:r w:rsidR="00BA3680" w:rsidRPr="00822410">
        <w:rPr>
          <w:rFonts w:ascii="Arial" w:hAnsi="Arial" w:cs="Arial"/>
        </w:rPr>
        <w:t>gebnis eines „Sonderwegs“ sei</w:t>
      </w:r>
      <w:r w:rsidRPr="00822410">
        <w:rPr>
          <w:rFonts w:ascii="Arial" w:hAnsi="Arial" w:cs="Arial"/>
        </w:rPr>
        <w:t>.</w:t>
      </w:r>
    </w:p>
    <w:p w:rsidR="00A330C9" w:rsidRPr="00822410" w:rsidRDefault="00A330C9" w:rsidP="00822410">
      <w:pPr>
        <w:pStyle w:val="Listenabsatz"/>
        <w:numPr>
          <w:ilvl w:val="0"/>
          <w:numId w:val="10"/>
        </w:numPr>
        <w:jc w:val="both"/>
        <w:rPr>
          <w:rFonts w:ascii="Arial" w:hAnsi="Arial" w:cs="Arial"/>
        </w:rPr>
      </w:pPr>
      <w:r w:rsidRPr="00822410">
        <w:rPr>
          <w:rFonts w:ascii="Arial" w:hAnsi="Arial" w:cs="Arial"/>
        </w:rPr>
        <w:t>I</w:t>
      </w:r>
      <w:r w:rsidR="00BA3680" w:rsidRPr="00822410">
        <w:rPr>
          <w:rFonts w:ascii="Arial" w:hAnsi="Arial" w:cs="Arial"/>
        </w:rPr>
        <w:t xml:space="preserve">m Gegensatz zu Plessner und Winkler sieht Wehler </w:t>
      </w:r>
      <w:r w:rsidR="001C05DA">
        <w:rPr>
          <w:rFonts w:ascii="Arial" w:hAnsi="Arial" w:cs="Arial"/>
        </w:rPr>
        <w:t>den Beginn dieses</w:t>
      </w:r>
      <w:r w:rsidRPr="00822410">
        <w:rPr>
          <w:rFonts w:ascii="Arial" w:hAnsi="Arial" w:cs="Arial"/>
        </w:rPr>
        <w:t xml:space="preserve"> Sonderwegs nicht im späten Mittelalter bzw. der frühen Neuzeit, sondern erst im entscheidenden Reichsgründungsjahrzehnt: entscheidend für ihn ist die charismatische Herrschaft Bismarcks und die mit ihr verbundene Stärkung des Adels und der Bürokratie sowie die „soziale“ und „mentale“ Militarisierung; hinzu kommt, dass die „Nationsbildung“ nicht 1871 endet, sondern erst dann unter den genannten Vorzeichen, die allesamt die politische und soziale Modernisierung im westlichen Sinne zumindest verzögern, wenn nicht gar abbremsen, beginnt. </w:t>
      </w:r>
    </w:p>
    <w:p w:rsidR="00A330C9" w:rsidRPr="00822410" w:rsidRDefault="00A330C9" w:rsidP="00822410">
      <w:pPr>
        <w:pStyle w:val="Listenabsatz"/>
        <w:numPr>
          <w:ilvl w:val="0"/>
          <w:numId w:val="10"/>
        </w:numPr>
        <w:jc w:val="both"/>
        <w:rPr>
          <w:rFonts w:ascii="Arial" w:hAnsi="Arial" w:cs="Arial"/>
        </w:rPr>
      </w:pPr>
      <w:r w:rsidRPr="00822410">
        <w:rPr>
          <w:rFonts w:ascii="Arial" w:hAnsi="Arial" w:cs="Arial"/>
        </w:rPr>
        <w:t>Demgegenüber machen Plessner und Winkler für die Verspätung vor allem das jah</w:t>
      </w:r>
      <w:r w:rsidRPr="00822410">
        <w:rPr>
          <w:rFonts w:ascii="Arial" w:hAnsi="Arial" w:cs="Arial"/>
        </w:rPr>
        <w:t>r</w:t>
      </w:r>
      <w:r w:rsidRPr="00822410">
        <w:rPr>
          <w:rFonts w:ascii="Arial" w:hAnsi="Arial" w:cs="Arial"/>
        </w:rPr>
        <w:t xml:space="preserve">hundertelange Fehlen einer „Nationalidee“ für die „Verspätung“ verantwortlich; für sie ist das Fehlen Resultat der Glaubensspaltung, der alten Reichsidee und </w:t>
      </w:r>
      <w:r w:rsidR="00CC793C" w:rsidRPr="00822410">
        <w:rPr>
          <w:rFonts w:ascii="Arial" w:hAnsi="Arial" w:cs="Arial"/>
        </w:rPr>
        <w:t>des pre</w:t>
      </w:r>
      <w:r w:rsidR="00CC793C" w:rsidRPr="00822410">
        <w:rPr>
          <w:rFonts w:ascii="Arial" w:hAnsi="Arial" w:cs="Arial"/>
        </w:rPr>
        <w:t>u</w:t>
      </w:r>
      <w:r w:rsidR="00CC793C" w:rsidRPr="00822410">
        <w:rPr>
          <w:rFonts w:ascii="Arial" w:hAnsi="Arial" w:cs="Arial"/>
        </w:rPr>
        <w:t>ßisch-österreichischen Dualismus.</w:t>
      </w:r>
    </w:p>
    <w:p w:rsidR="00CC793C" w:rsidRPr="00822410" w:rsidRDefault="00CC793C" w:rsidP="00822410">
      <w:pPr>
        <w:pStyle w:val="Listenabsatz"/>
        <w:numPr>
          <w:ilvl w:val="0"/>
          <w:numId w:val="10"/>
        </w:numPr>
        <w:jc w:val="both"/>
        <w:rPr>
          <w:rFonts w:ascii="Arial" w:hAnsi="Arial" w:cs="Arial"/>
        </w:rPr>
      </w:pPr>
      <w:r w:rsidRPr="00822410">
        <w:rPr>
          <w:rFonts w:ascii="Arial" w:hAnsi="Arial" w:cs="Arial"/>
        </w:rPr>
        <w:t>Für Plessner sind zudem der Untertanengeist und die politische Indifferenz von Pr</w:t>
      </w:r>
      <w:r w:rsidRPr="00822410">
        <w:rPr>
          <w:rFonts w:ascii="Arial" w:hAnsi="Arial" w:cs="Arial"/>
        </w:rPr>
        <w:t>o</w:t>
      </w:r>
      <w:r w:rsidRPr="00822410">
        <w:rPr>
          <w:rFonts w:ascii="Arial" w:hAnsi="Arial" w:cs="Arial"/>
        </w:rPr>
        <w:t>testantismus und Preußentum verantwortlich, zumal Preußen ein bloßer Machtstaat – ohne jede Staatsidee – gewesen sei.</w:t>
      </w:r>
    </w:p>
    <w:p w:rsidR="00CC793C" w:rsidRPr="00822410" w:rsidRDefault="00CC793C" w:rsidP="00822410">
      <w:pPr>
        <w:pStyle w:val="Listenabsatz"/>
        <w:numPr>
          <w:ilvl w:val="0"/>
          <w:numId w:val="10"/>
        </w:numPr>
        <w:jc w:val="both"/>
        <w:rPr>
          <w:rFonts w:ascii="Arial" w:hAnsi="Arial" w:cs="Arial"/>
        </w:rPr>
      </w:pPr>
      <w:r w:rsidRPr="00822410">
        <w:rPr>
          <w:rFonts w:ascii="Arial" w:hAnsi="Arial" w:cs="Arial"/>
        </w:rPr>
        <w:t>Winkler, der in der Reichsgründung zumindest ein Stück „Normalisierung“</w:t>
      </w:r>
      <w:r w:rsidR="005E7249">
        <w:rPr>
          <w:rFonts w:ascii="Arial" w:hAnsi="Arial" w:cs="Arial"/>
        </w:rPr>
        <w:t xml:space="preserve"> </w:t>
      </w:r>
      <w:r w:rsidRPr="00822410">
        <w:rPr>
          <w:rFonts w:ascii="Arial" w:hAnsi="Arial" w:cs="Arial"/>
        </w:rPr>
        <w:t>=</w:t>
      </w:r>
      <w:r w:rsidR="005E7249">
        <w:rPr>
          <w:rFonts w:ascii="Arial" w:hAnsi="Arial" w:cs="Arial"/>
        </w:rPr>
        <w:t xml:space="preserve"> </w:t>
      </w:r>
      <w:r w:rsidRPr="00822410">
        <w:rPr>
          <w:rFonts w:ascii="Arial" w:hAnsi="Arial" w:cs="Arial"/>
        </w:rPr>
        <w:t>“Ve</w:t>
      </w:r>
      <w:r w:rsidRPr="00822410">
        <w:rPr>
          <w:rFonts w:ascii="Arial" w:hAnsi="Arial" w:cs="Arial"/>
        </w:rPr>
        <w:t>r</w:t>
      </w:r>
      <w:r w:rsidRPr="00822410">
        <w:rPr>
          <w:rFonts w:ascii="Arial" w:hAnsi="Arial" w:cs="Arial"/>
        </w:rPr>
        <w:t xml:space="preserve">westlichung“ der deutschen Entwicklung sieht, </w:t>
      </w:r>
      <w:r w:rsidR="00822410" w:rsidRPr="00822410">
        <w:rPr>
          <w:rFonts w:ascii="Arial" w:hAnsi="Arial" w:cs="Arial"/>
        </w:rPr>
        <w:t>macht dann aber – ähnlich wie Wehler – die Bismarck’sche „Revolution von oben“ für die weitere Fehlentwicklung Deutsc</w:t>
      </w:r>
      <w:r w:rsidR="00822410" w:rsidRPr="00822410">
        <w:rPr>
          <w:rFonts w:ascii="Arial" w:hAnsi="Arial" w:cs="Arial"/>
        </w:rPr>
        <w:t>h</w:t>
      </w:r>
      <w:r w:rsidR="00822410" w:rsidRPr="00822410">
        <w:rPr>
          <w:rFonts w:ascii="Arial" w:hAnsi="Arial" w:cs="Arial"/>
        </w:rPr>
        <w:t>lands verantwortlich.</w:t>
      </w:r>
    </w:p>
    <w:p w:rsidR="00822410" w:rsidRPr="00822410" w:rsidRDefault="00822410" w:rsidP="00822410">
      <w:pPr>
        <w:pStyle w:val="Listenabsatz"/>
        <w:numPr>
          <w:ilvl w:val="0"/>
          <w:numId w:val="10"/>
        </w:numPr>
        <w:jc w:val="both"/>
        <w:rPr>
          <w:rFonts w:ascii="Arial" w:hAnsi="Arial" w:cs="Arial"/>
        </w:rPr>
      </w:pPr>
      <w:r w:rsidRPr="00822410">
        <w:rPr>
          <w:rFonts w:ascii="Arial" w:hAnsi="Arial" w:cs="Arial"/>
        </w:rPr>
        <w:t>Für alle drei Autoren erreicht der „deutsche Sonderweg“ mit der Diktatur Hitlers se</w:t>
      </w:r>
      <w:r w:rsidRPr="00822410">
        <w:rPr>
          <w:rFonts w:ascii="Arial" w:hAnsi="Arial" w:cs="Arial"/>
        </w:rPr>
        <w:t>i</w:t>
      </w:r>
      <w:r w:rsidRPr="00822410">
        <w:rPr>
          <w:rFonts w:ascii="Arial" w:hAnsi="Arial" w:cs="Arial"/>
        </w:rPr>
        <w:t>nen „Gipfelpunkt“.</w:t>
      </w:r>
    </w:p>
    <w:p w:rsidR="00822410" w:rsidRDefault="00822410" w:rsidP="00822410">
      <w:pPr>
        <w:jc w:val="both"/>
        <w:rPr>
          <w:rFonts w:ascii="Arial" w:hAnsi="Arial" w:cs="Arial"/>
          <w:b/>
          <w:sz w:val="24"/>
          <w:szCs w:val="24"/>
        </w:rPr>
      </w:pPr>
      <w:r w:rsidRPr="00822410">
        <w:rPr>
          <w:rFonts w:ascii="Arial" w:hAnsi="Arial" w:cs="Arial"/>
          <w:b/>
          <w:sz w:val="24"/>
          <w:szCs w:val="24"/>
        </w:rPr>
        <w:t>Beurteilung der drei Darstellungen:</w:t>
      </w:r>
    </w:p>
    <w:p w:rsidR="005E7249" w:rsidRPr="0042751C" w:rsidRDefault="005E7249" w:rsidP="0042751C">
      <w:pPr>
        <w:pStyle w:val="Listenabsatz"/>
        <w:numPr>
          <w:ilvl w:val="0"/>
          <w:numId w:val="12"/>
        </w:numPr>
        <w:jc w:val="both"/>
        <w:rPr>
          <w:rFonts w:ascii="Arial" w:hAnsi="Arial" w:cs="Arial"/>
        </w:rPr>
      </w:pPr>
      <w:r w:rsidRPr="0042751C">
        <w:rPr>
          <w:rFonts w:ascii="Arial" w:hAnsi="Arial" w:cs="Arial"/>
        </w:rPr>
        <w:t xml:space="preserve">Alle drei Autoren gehen davon aus, dass </w:t>
      </w:r>
      <w:r w:rsidR="00F23EC6" w:rsidRPr="0042751C">
        <w:rPr>
          <w:rFonts w:ascii="Arial" w:hAnsi="Arial" w:cs="Arial"/>
        </w:rPr>
        <w:t>die Nationalstaatsgründung den histor</w:t>
      </w:r>
      <w:r w:rsidR="00F23EC6" w:rsidRPr="0042751C">
        <w:rPr>
          <w:rFonts w:ascii="Arial" w:hAnsi="Arial" w:cs="Arial"/>
        </w:rPr>
        <w:t>i</w:t>
      </w:r>
      <w:r w:rsidR="00F23EC6" w:rsidRPr="0042751C">
        <w:rPr>
          <w:rFonts w:ascii="Arial" w:hAnsi="Arial" w:cs="Arial"/>
        </w:rPr>
        <w:t xml:space="preserve">schen Normalfall darstelle und dass die ‚nationale‘ Geschichte auf diese Gründung zulaufen müsse. Übersehen wird m.E. dabei, dass die Nationalstaatsidee erst seit der Französischen Revolution auf der historisch-politischen Agenda steht. </w:t>
      </w:r>
    </w:p>
    <w:p w:rsidR="00F23EC6" w:rsidRPr="0042751C" w:rsidRDefault="00F23EC6" w:rsidP="0042751C">
      <w:pPr>
        <w:pStyle w:val="Listenabsatz"/>
        <w:numPr>
          <w:ilvl w:val="0"/>
          <w:numId w:val="12"/>
        </w:numPr>
        <w:jc w:val="both"/>
        <w:rPr>
          <w:rFonts w:ascii="Arial" w:hAnsi="Arial" w:cs="Arial"/>
        </w:rPr>
      </w:pPr>
      <w:r w:rsidRPr="0042751C">
        <w:rPr>
          <w:rFonts w:ascii="Arial" w:hAnsi="Arial" w:cs="Arial"/>
        </w:rPr>
        <w:lastRenderedPageBreak/>
        <w:t>Auch die politischen und gesellschaftlichen Entwicklungen der gepriesenen westl</w:t>
      </w:r>
      <w:r w:rsidRPr="0042751C">
        <w:rPr>
          <w:rFonts w:ascii="Arial" w:hAnsi="Arial" w:cs="Arial"/>
        </w:rPr>
        <w:t>i</w:t>
      </w:r>
      <w:r w:rsidRPr="0042751C">
        <w:rPr>
          <w:rFonts w:ascii="Arial" w:hAnsi="Arial" w:cs="Arial"/>
        </w:rPr>
        <w:t>chen Vorbilder verlief</w:t>
      </w:r>
      <w:r w:rsidR="0075449D" w:rsidRPr="0042751C">
        <w:rPr>
          <w:rFonts w:ascii="Arial" w:hAnsi="Arial" w:cs="Arial"/>
        </w:rPr>
        <w:t>en</w:t>
      </w:r>
      <w:r w:rsidRPr="0042751C">
        <w:rPr>
          <w:rFonts w:ascii="Arial" w:hAnsi="Arial" w:cs="Arial"/>
        </w:rPr>
        <w:t xml:space="preserve"> höchst </w:t>
      </w:r>
      <w:r w:rsidR="001C05DA">
        <w:rPr>
          <w:rFonts w:ascii="Arial" w:hAnsi="Arial" w:cs="Arial"/>
        </w:rPr>
        <w:t>u</w:t>
      </w:r>
      <w:r w:rsidRPr="0042751C">
        <w:rPr>
          <w:rFonts w:ascii="Arial" w:hAnsi="Arial" w:cs="Arial"/>
        </w:rPr>
        <w:t xml:space="preserve">nterschiedlich, dass man sie nur zum einheitlichen Maßstab machen kann, wenn man die Unterschiede nivelliert. (Vergleiche z.B. </w:t>
      </w:r>
      <w:r w:rsidR="0075449D" w:rsidRPr="0042751C">
        <w:rPr>
          <w:rFonts w:ascii="Arial" w:hAnsi="Arial" w:cs="Arial"/>
        </w:rPr>
        <w:t>These der „Atlantischen Revolution“).</w:t>
      </w:r>
    </w:p>
    <w:p w:rsidR="0075449D" w:rsidRPr="0042751C" w:rsidRDefault="0075449D" w:rsidP="0042751C">
      <w:pPr>
        <w:pStyle w:val="Listenabsatz"/>
        <w:numPr>
          <w:ilvl w:val="0"/>
          <w:numId w:val="12"/>
        </w:numPr>
        <w:jc w:val="both"/>
        <w:rPr>
          <w:rFonts w:ascii="Arial" w:hAnsi="Arial" w:cs="Arial"/>
        </w:rPr>
      </w:pPr>
      <w:r w:rsidRPr="0042751C">
        <w:rPr>
          <w:rFonts w:ascii="Arial" w:hAnsi="Arial" w:cs="Arial"/>
        </w:rPr>
        <w:t>Plessners unter dem Eindruck der Errichtung der Hitlerdiktatur entwickelte These vom „deutschen Sonderweg“ (1934/35) ist als unmittelbare Reaktion durchaus verstän</w:t>
      </w:r>
      <w:r w:rsidRPr="0042751C">
        <w:rPr>
          <w:rFonts w:ascii="Arial" w:hAnsi="Arial" w:cs="Arial"/>
        </w:rPr>
        <w:t>d</w:t>
      </w:r>
      <w:r w:rsidRPr="0042751C">
        <w:rPr>
          <w:rFonts w:ascii="Arial" w:hAnsi="Arial" w:cs="Arial"/>
        </w:rPr>
        <w:t>lich und nachvollziehbar; demgegenüber ist vor allem Winklers Rückblick auf die deutsche Geschichte vom 1990 endlich erreichten westlichen Standard (der in Fre</w:t>
      </w:r>
      <w:r w:rsidRPr="0042751C">
        <w:rPr>
          <w:rFonts w:ascii="Arial" w:hAnsi="Arial" w:cs="Arial"/>
        </w:rPr>
        <w:t>i</w:t>
      </w:r>
      <w:r w:rsidRPr="0042751C">
        <w:rPr>
          <w:rFonts w:ascii="Arial" w:hAnsi="Arial" w:cs="Arial"/>
        </w:rPr>
        <w:t xml:space="preserve">heit und Demokratie vereinten Nation) aus – noch immer ebenso politisch-ideologisch gefärbt. </w:t>
      </w:r>
    </w:p>
    <w:p w:rsidR="0075449D" w:rsidRPr="0042751C" w:rsidRDefault="0075449D" w:rsidP="0042751C">
      <w:pPr>
        <w:pStyle w:val="Listenabsatz"/>
        <w:numPr>
          <w:ilvl w:val="0"/>
          <w:numId w:val="12"/>
        </w:numPr>
        <w:jc w:val="both"/>
        <w:rPr>
          <w:rFonts w:ascii="Arial" w:hAnsi="Arial" w:cs="Arial"/>
        </w:rPr>
      </w:pPr>
      <w:r w:rsidRPr="0042751C">
        <w:rPr>
          <w:rFonts w:ascii="Arial" w:hAnsi="Arial" w:cs="Arial"/>
        </w:rPr>
        <w:t>In allen drei Fällen wird vor allem die politische Entwicklung des sogenannten „Dritten Deutschland“ und damit die weitaus fortschrittliche</w:t>
      </w:r>
      <w:r w:rsidR="0042751C" w:rsidRPr="0042751C">
        <w:rPr>
          <w:rFonts w:ascii="Arial" w:hAnsi="Arial" w:cs="Arial"/>
        </w:rPr>
        <w:t xml:space="preserve">n </w:t>
      </w:r>
      <w:r w:rsidRPr="0042751C">
        <w:rPr>
          <w:rFonts w:ascii="Arial" w:hAnsi="Arial" w:cs="Arial"/>
        </w:rPr>
        <w:t>Verhältnisse Badens, Württe</w:t>
      </w:r>
      <w:r w:rsidRPr="0042751C">
        <w:rPr>
          <w:rFonts w:ascii="Arial" w:hAnsi="Arial" w:cs="Arial"/>
        </w:rPr>
        <w:t>m</w:t>
      </w:r>
      <w:r w:rsidRPr="0042751C">
        <w:rPr>
          <w:rFonts w:ascii="Arial" w:hAnsi="Arial" w:cs="Arial"/>
        </w:rPr>
        <w:t xml:space="preserve">bergs etc. </w:t>
      </w:r>
      <w:r w:rsidR="0042751C" w:rsidRPr="0042751C">
        <w:rPr>
          <w:rFonts w:ascii="Arial" w:hAnsi="Arial" w:cs="Arial"/>
        </w:rPr>
        <w:t>völlig ausgeblendet; dass sie sich nicht stärker durchsetzen konnten und – hier ist Wehler zuzustimmen – angesichts der Dynamik der 1860er Jahre in Preußen-Deutschland marginalisiert wurden, steht auf einem anderen Blatt.</w:t>
      </w:r>
    </w:p>
    <w:p w:rsidR="00822410" w:rsidRPr="00822410" w:rsidRDefault="00822410" w:rsidP="00822410">
      <w:pPr>
        <w:jc w:val="both"/>
        <w:rPr>
          <w:rFonts w:ascii="Arial" w:hAnsi="Arial" w:cs="Arial"/>
        </w:rPr>
      </w:pPr>
    </w:p>
    <w:sectPr w:rsidR="00822410" w:rsidRPr="008224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2D27"/>
    <w:multiLevelType w:val="hybridMultilevel"/>
    <w:tmpl w:val="FC920540"/>
    <w:lvl w:ilvl="0" w:tplc="C1CC3650">
      <w:numFmt w:val="bullet"/>
      <w:lvlText w:val="-"/>
      <w:lvlJc w:val="left"/>
      <w:pPr>
        <w:ind w:left="720" w:hanging="360"/>
      </w:pPr>
      <w:rPr>
        <w:rFonts w:ascii="Arial" w:eastAsiaTheme="minorHAnsi"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58B4B25"/>
    <w:multiLevelType w:val="hybridMultilevel"/>
    <w:tmpl w:val="1C181A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A7C5F69"/>
    <w:multiLevelType w:val="hybridMultilevel"/>
    <w:tmpl w:val="30DCBA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40C17815"/>
    <w:multiLevelType w:val="hybridMultilevel"/>
    <w:tmpl w:val="1E1A3D2C"/>
    <w:lvl w:ilvl="0" w:tplc="C1CC3650">
      <w:numFmt w:val="bullet"/>
      <w:lvlText w:val="-"/>
      <w:lvlJc w:val="left"/>
      <w:pPr>
        <w:ind w:left="720" w:hanging="360"/>
      </w:pPr>
      <w:rPr>
        <w:rFonts w:ascii="Arial" w:eastAsiaTheme="minorHAnsi"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6037EC7"/>
    <w:multiLevelType w:val="hybridMultilevel"/>
    <w:tmpl w:val="DD3612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BDD03EB"/>
    <w:multiLevelType w:val="hybridMultilevel"/>
    <w:tmpl w:val="127EE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F690EAB"/>
    <w:multiLevelType w:val="hybridMultilevel"/>
    <w:tmpl w:val="F0DE2B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76C57DE"/>
    <w:multiLevelType w:val="hybridMultilevel"/>
    <w:tmpl w:val="05E0D19A"/>
    <w:lvl w:ilvl="0" w:tplc="C1CC3650">
      <w:numFmt w:val="bullet"/>
      <w:lvlText w:val="-"/>
      <w:lvlJc w:val="left"/>
      <w:pPr>
        <w:ind w:left="720" w:hanging="360"/>
      </w:pPr>
      <w:rPr>
        <w:rFonts w:ascii="Arial" w:eastAsiaTheme="minorHAnsi"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CB35B59"/>
    <w:multiLevelType w:val="hybridMultilevel"/>
    <w:tmpl w:val="D4F8BF1C"/>
    <w:lvl w:ilvl="0" w:tplc="4B3A6E9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700A7E01"/>
    <w:multiLevelType w:val="hybridMultilevel"/>
    <w:tmpl w:val="6C626EFC"/>
    <w:lvl w:ilvl="0" w:tplc="C1CC3650">
      <w:numFmt w:val="bullet"/>
      <w:lvlText w:val="-"/>
      <w:lvlJc w:val="left"/>
      <w:pPr>
        <w:ind w:left="720" w:hanging="360"/>
      </w:pPr>
      <w:rPr>
        <w:rFonts w:ascii="Arial" w:eastAsiaTheme="minorHAnsi"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73F60520"/>
    <w:multiLevelType w:val="hybridMultilevel"/>
    <w:tmpl w:val="94FE57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4DB44B9"/>
    <w:multiLevelType w:val="hybridMultilevel"/>
    <w:tmpl w:val="57085C1E"/>
    <w:lvl w:ilvl="0" w:tplc="04070001">
      <w:start w:val="1"/>
      <w:numFmt w:val="bullet"/>
      <w:lvlText w:val=""/>
      <w:lvlJc w:val="left"/>
      <w:pPr>
        <w:ind w:left="720" w:hanging="360"/>
      </w:pPr>
      <w:rPr>
        <w:rFonts w:ascii="Symbol" w:hAnsi="Symbo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6"/>
  </w:num>
  <w:num w:numId="5">
    <w:abstractNumId w:val="2"/>
  </w:num>
  <w:num w:numId="6">
    <w:abstractNumId w:val="0"/>
  </w:num>
  <w:num w:numId="7">
    <w:abstractNumId w:val="3"/>
  </w:num>
  <w:num w:numId="8">
    <w:abstractNumId w:val="9"/>
  </w:num>
  <w:num w:numId="9">
    <w:abstractNumId w:val="11"/>
  </w:num>
  <w:num w:numId="10">
    <w:abstractNumId w:val="5"/>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DFD"/>
    <w:rsid w:val="0003310D"/>
    <w:rsid w:val="001A6E60"/>
    <w:rsid w:val="001C05DA"/>
    <w:rsid w:val="00242F18"/>
    <w:rsid w:val="0028525D"/>
    <w:rsid w:val="00400961"/>
    <w:rsid w:val="0042751C"/>
    <w:rsid w:val="0045053B"/>
    <w:rsid w:val="00470216"/>
    <w:rsid w:val="005E7249"/>
    <w:rsid w:val="00682890"/>
    <w:rsid w:val="0075449D"/>
    <w:rsid w:val="00822410"/>
    <w:rsid w:val="008E0DFD"/>
    <w:rsid w:val="008E1543"/>
    <w:rsid w:val="0091445C"/>
    <w:rsid w:val="00A330C9"/>
    <w:rsid w:val="00A72ED4"/>
    <w:rsid w:val="00BA3680"/>
    <w:rsid w:val="00CC793C"/>
    <w:rsid w:val="00D124EE"/>
    <w:rsid w:val="00F23EC6"/>
    <w:rsid w:val="00F97A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3310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3310D"/>
    <w:pPr>
      <w:spacing w:after="0" w:line="240" w:lineRule="auto"/>
    </w:pPr>
  </w:style>
  <w:style w:type="paragraph" w:styleId="Listenabsatz">
    <w:name w:val="List Paragraph"/>
    <w:basedOn w:val="Standard"/>
    <w:uiPriority w:val="34"/>
    <w:qFormat/>
    <w:rsid w:val="000331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3310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3310D"/>
    <w:pPr>
      <w:spacing w:after="0" w:line="240" w:lineRule="auto"/>
    </w:pPr>
  </w:style>
  <w:style w:type="paragraph" w:styleId="Listenabsatz">
    <w:name w:val="List Paragraph"/>
    <w:basedOn w:val="Standard"/>
    <w:uiPriority w:val="34"/>
    <w:qFormat/>
    <w:rsid w:val="00033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6032</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Kreutz</dc:creator>
  <cp:lastModifiedBy>Job</cp:lastModifiedBy>
  <cp:revision>2</cp:revision>
  <dcterms:created xsi:type="dcterms:W3CDTF">2013-01-19T07:30:00Z</dcterms:created>
  <dcterms:modified xsi:type="dcterms:W3CDTF">2013-01-19T07:30:00Z</dcterms:modified>
</cp:coreProperties>
</file>