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C1F" w:rsidRPr="00115C1F" w:rsidRDefault="00115C1F" w:rsidP="00115C1F">
      <w:pPr>
        <w:spacing w:before="120" w:after="120"/>
        <w:rPr>
          <w:rFonts w:eastAsiaTheme="minorEastAsia" w:cstheme="minorHAnsi"/>
          <w:b/>
          <w:bCs/>
          <w:color w:val="000000" w:themeColor="text1"/>
          <w:kern w:val="24"/>
          <w:sz w:val="28"/>
          <w:szCs w:val="28"/>
        </w:rPr>
      </w:pPr>
      <w:r>
        <w:rPr>
          <w:rFonts w:eastAsiaTheme="minorEastAsia" w:cstheme="minorHAnsi"/>
          <w:b/>
          <w:bCs/>
          <w:color w:val="000000" w:themeColor="text1"/>
          <w:kern w:val="24"/>
          <w:sz w:val="28"/>
          <w:szCs w:val="28"/>
        </w:rPr>
        <w:t xml:space="preserve">Thesen aus </w:t>
      </w:r>
      <w:r w:rsidR="00C82E80" w:rsidRPr="00115C1F">
        <w:rPr>
          <w:rFonts w:eastAsiaTheme="minorEastAsia" w:cstheme="minorHAnsi"/>
          <w:b/>
          <w:bCs/>
          <w:color w:val="000000" w:themeColor="text1"/>
          <w:kern w:val="24"/>
          <w:sz w:val="28"/>
          <w:szCs w:val="28"/>
        </w:rPr>
        <w:t xml:space="preserve">Ulrich Herberts Theorie der Hochmoderne (High </w:t>
      </w:r>
      <w:proofErr w:type="spellStart"/>
      <w:r w:rsidR="00C82E80" w:rsidRPr="00115C1F">
        <w:rPr>
          <w:rFonts w:eastAsiaTheme="minorEastAsia" w:cstheme="minorHAnsi"/>
          <w:b/>
          <w:bCs/>
          <w:color w:val="000000" w:themeColor="text1"/>
          <w:kern w:val="24"/>
          <w:sz w:val="28"/>
          <w:szCs w:val="28"/>
        </w:rPr>
        <w:t>Modernity</w:t>
      </w:r>
      <w:proofErr w:type="spellEnd"/>
      <w:r w:rsidR="00C82E80" w:rsidRPr="00115C1F">
        <w:rPr>
          <w:rFonts w:eastAsiaTheme="minorEastAsia" w:cstheme="minorHAnsi"/>
          <w:b/>
          <w:bCs/>
          <w:color w:val="000000" w:themeColor="text1"/>
          <w:kern w:val="24"/>
          <w:sz w:val="28"/>
          <w:szCs w:val="28"/>
        </w:rPr>
        <w:t>)</w:t>
      </w:r>
      <w:r w:rsidRPr="00115C1F">
        <w:rPr>
          <w:rFonts w:eastAsiaTheme="minorEastAsia" w:cstheme="minorHAnsi"/>
          <w:b/>
          <w:bCs/>
          <w:color w:val="000000" w:themeColor="text1"/>
          <w:kern w:val="24"/>
          <w:sz w:val="28"/>
          <w:szCs w:val="28"/>
        </w:rPr>
        <w:t xml:space="preserve"> mit Bezug zum Bildungsplan 2016, Kursstufe</w:t>
      </w:r>
    </w:p>
    <w:p w:rsidR="00115C1F" w:rsidRDefault="00115C1F" w:rsidP="00115C1F">
      <w:pPr>
        <w:spacing w:before="120" w:after="120" w:line="240" w:lineRule="auto"/>
        <w:rPr>
          <w:rFonts w:eastAsiaTheme="minorEastAsia" w:cstheme="minorHAnsi"/>
          <w:b/>
          <w:iCs/>
          <w:color w:val="000000" w:themeColor="text1"/>
          <w:kern w:val="24"/>
          <w:sz w:val="24"/>
          <w:szCs w:val="24"/>
          <w:u w:val="single"/>
        </w:rPr>
      </w:pPr>
    </w:p>
    <w:p w:rsidR="00115C1F" w:rsidRPr="00115C1F" w:rsidRDefault="00115C1F" w:rsidP="00115C1F">
      <w:pPr>
        <w:spacing w:before="120" w:after="120" w:line="240" w:lineRule="auto"/>
        <w:rPr>
          <w:rFonts w:eastAsiaTheme="minorEastAsia" w:cstheme="minorHAnsi"/>
          <w:b/>
          <w:iCs/>
          <w:color w:val="000000" w:themeColor="text1"/>
          <w:kern w:val="24"/>
          <w:sz w:val="24"/>
          <w:szCs w:val="24"/>
          <w:u w:val="single"/>
        </w:rPr>
      </w:pPr>
      <w:r w:rsidRPr="00115C1F">
        <w:rPr>
          <w:rFonts w:eastAsiaTheme="minorEastAsia" w:cstheme="minorHAnsi"/>
          <w:b/>
          <w:iCs/>
          <w:color w:val="000000" w:themeColor="text1"/>
          <w:kern w:val="24"/>
          <w:sz w:val="24"/>
          <w:szCs w:val="24"/>
          <w:u w:val="single"/>
        </w:rPr>
        <w:t>Literatur:</w:t>
      </w:r>
    </w:p>
    <w:p w:rsidR="00C82E80" w:rsidRPr="00115C1F" w:rsidRDefault="00C82E80" w:rsidP="00115C1F">
      <w:pPr>
        <w:spacing w:before="120" w:after="120" w:line="240" w:lineRule="auto"/>
        <w:rPr>
          <w:rFonts w:eastAsiaTheme="minorEastAsia" w:cstheme="minorHAnsi"/>
          <w:color w:val="000000" w:themeColor="text1"/>
          <w:kern w:val="24"/>
          <w:sz w:val="24"/>
          <w:szCs w:val="24"/>
        </w:rPr>
      </w:pPr>
      <w:r w:rsidRPr="00115C1F">
        <w:rPr>
          <w:rFonts w:eastAsiaTheme="minorEastAsia" w:cstheme="minorHAnsi"/>
          <w:iCs/>
          <w:color w:val="000000" w:themeColor="text1"/>
          <w:kern w:val="24"/>
          <w:sz w:val="24"/>
          <w:szCs w:val="24"/>
        </w:rPr>
        <w:t xml:space="preserve">Europe in High </w:t>
      </w:r>
      <w:proofErr w:type="spellStart"/>
      <w:r w:rsidRPr="00115C1F">
        <w:rPr>
          <w:rFonts w:eastAsiaTheme="minorEastAsia" w:cstheme="minorHAnsi"/>
          <w:iCs/>
          <w:color w:val="000000" w:themeColor="text1"/>
          <w:kern w:val="24"/>
          <w:sz w:val="24"/>
          <w:szCs w:val="24"/>
        </w:rPr>
        <w:t>Modernity</w:t>
      </w:r>
      <w:proofErr w:type="spellEnd"/>
      <w:r w:rsidRPr="00115C1F">
        <w:rPr>
          <w:rFonts w:eastAsiaTheme="minorEastAsia" w:cstheme="minorHAnsi"/>
          <w:iCs/>
          <w:color w:val="000000" w:themeColor="text1"/>
          <w:kern w:val="24"/>
          <w:sz w:val="24"/>
          <w:szCs w:val="24"/>
        </w:rPr>
        <w:t xml:space="preserve">. </w:t>
      </w:r>
      <w:proofErr w:type="spellStart"/>
      <w:r w:rsidRPr="00115C1F">
        <w:rPr>
          <w:rFonts w:eastAsiaTheme="minorEastAsia" w:cstheme="minorHAnsi"/>
          <w:iCs/>
          <w:color w:val="000000" w:themeColor="text1"/>
          <w:kern w:val="24"/>
          <w:sz w:val="24"/>
          <w:szCs w:val="24"/>
        </w:rPr>
        <w:t>Reflections</w:t>
      </w:r>
      <w:proofErr w:type="spellEnd"/>
      <w:r w:rsidRPr="00115C1F">
        <w:rPr>
          <w:rFonts w:eastAsiaTheme="minorEastAsia" w:cstheme="minorHAnsi"/>
          <w:iCs/>
          <w:color w:val="000000" w:themeColor="text1"/>
          <w:kern w:val="24"/>
          <w:sz w:val="24"/>
          <w:szCs w:val="24"/>
        </w:rPr>
        <w:t xml:space="preserve"> on a Theory </w:t>
      </w:r>
      <w:proofErr w:type="spellStart"/>
      <w:r w:rsidRPr="00115C1F">
        <w:rPr>
          <w:rFonts w:eastAsiaTheme="minorEastAsia" w:cstheme="minorHAnsi"/>
          <w:iCs/>
          <w:color w:val="000000" w:themeColor="text1"/>
          <w:kern w:val="24"/>
          <w:sz w:val="24"/>
          <w:szCs w:val="24"/>
        </w:rPr>
        <w:t>of</w:t>
      </w:r>
      <w:proofErr w:type="spellEnd"/>
      <w:r w:rsidRPr="00115C1F">
        <w:rPr>
          <w:rFonts w:eastAsiaTheme="minorEastAsia" w:cstheme="minorHAnsi"/>
          <w:iCs/>
          <w:color w:val="000000" w:themeColor="text1"/>
          <w:kern w:val="24"/>
          <w:sz w:val="24"/>
          <w:szCs w:val="24"/>
        </w:rPr>
        <w:t xml:space="preserve"> </w:t>
      </w:r>
      <w:proofErr w:type="spellStart"/>
      <w:r w:rsidRPr="00115C1F">
        <w:rPr>
          <w:rFonts w:eastAsiaTheme="minorEastAsia" w:cstheme="minorHAnsi"/>
          <w:iCs/>
          <w:color w:val="000000" w:themeColor="text1"/>
          <w:kern w:val="24"/>
          <w:sz w:val="24"/>
          <w:szCs w:val="24"/>
        </w:rPr>
        <w:t>the</w:t>
      </w:r>
      <w:proofErr w:type="spellEnd"/>
      <w:r w:rsidRPr="00115C1F">
        <w:rPr>
          <w:rFonts w:eastAsiaTheme="minorEastAsia" w:cstheme="minorHAnsi"/>
          <w:iCs/>
          <w:color w:val="000000" w:themeColor="text1"/>
          <w:kern w:val="24"/>
          <w:sz w:val="24"/>
          <w:szCs w:val="24"/>
        </w:rPr>
        <w:t xml:space="preserve"> 20th Century, in: Journal </w:t>
      </w:r>
      <w:proofErr w:type="spellStart"/>
      <w:r w:rsidRPr="00115C1F">
        <w:rPr>
          <w:rFonts w:eastAsiaTheme="minorEastAsia" w:cstheme="minorHAnsi"/>
          <w:iCs/>
          <w:color w:val="000000" w:themeColor="text1"/>
          <w:kern w:val="24"/>
          <w:sz w:val="24"/>
          <w:szCs w:val="24"/>
        </w:rPr>
        <w:t>of</w:t>
      </w:r>
      <w:proofErr w:type="spellEnd"/>
      <w:r w:rsidRPr="00115C1F">
        <w:rPr>
          <w:rFonts w:eastAsiaTheme="minorEastAsia" w:cstheme="minorHAnsi"/>
          <w:iCs/>
          <w:color w:val="000000" w:themeColor="text1"/>
          <w:kern w:val="24"/>
          <w:sz w:val="24"/>
          <w:szCs w:val="24"/>
        </w:rPr>
        <w:t xml:space="preserve"> </w:t>
      </w:r>
      <w:proofErr w:type="gramStart"/>
      <w:r w:rsidRPr="00115C1F">
        <w:rPr>
          <w:rFonts w:eastAsiaTheme="minorEastAsia" w:cstheme="minorHAnsi"/>
          <w:iCs/>
          <w:color w:val="000000" w:themeColor="text1"/>
          <w:kern w:val="24"/>
          <w:sz w:val="24"/>
          <w:szCs w:val="24"/>
        </w:rPr>
        <w:t>Modern</w:t>
      </w:r>
      <w:proofErr w:type="gramEnd"/>
      <w:r w:rsidRPr="00115C1F">
        <w:rPr>
          <w:rFonts w:eastAsiaTheme="minorEastAsia" w:cstheme="minorHAnsi"/>
          <w:iCs/>
          <w:color w:val="000000" w:themeColor="text1"/>
          <w:kern w:val="24"/>
          <w:sz w:val="24"/>
          <w:szCs w:val="24"/>
        </w:rPr>
        <w:t xml:space="preserve"> European </w:t>
      </w:r>
      <w:proofErr w:type="spellStart"/>
      <w:r w:rsidRPr="00115C1F">
        <w:rPr>
          <w:rFonts w:eastAsiaTheme="minorEastAsia" w:cstheme="minorHAnsi"/>
          <w:iCs/>
          <w:color w:val="000000" w:themeColor="text1"/>
          <w:kern w:val="24"/>
          <w:sz w:val="24"/>
          <w:szCs w:val="24"/>
        </w:rPr>
        <w:t>History</w:t>
      </w:r>
      <w:proofErr w:type="spellEnd"/>
      <w:r w:rsidRPr="00115C1F">
        <w:rPr>
          <w:rFonts w:eastAsiaTheme="minorEastAsia" w:cstheme="minorHAnsi"/>
          <w:iCs/>
          <w:color w:val="000000" w:themeColor="text1"/>
          <w:kern w:val="24"/>
          <w:sz w:val="24"/>
          <w:szCs w:val="24"/>
        </w:rPr>
        <w:t xml:space="preserve"> 5 (2007), S. 5-20</w:t>
      </w:r>
    </w:p>
    <w:p w:rsidR="00C82E80" w:rsidRDefault="00C82E80" w:rsidP="00115C1F">
      <w:pPr>
        <w:pStyle w:val="Listenabsatz"/>
        <w:spacing w:before="120" w:after="120"/>
        <w:ind w:left="0"/>
        <w:rPr>
          <w:rFonts w:asciiTheme="minorHAnsi" w:eastAsiaTheme="minorHAnsi" w:hAnsiTheme="minorHAnsi" w:cstheme="minorBidi"/>
          <w:lang w:eastAsia="en-US"/>
        </w:rPr>
      </w:pPr>
    </w:p>
    <w:p w:rsidR="00115C1F" w:rsidRPr="00115C1F" w:rsidRDefault="00115C1F" w:rsidP="00115C1F">
      <w:pPr>
        <w:pStyle w:val="Listenabsatz"/>
        <w:spacing w:before="120" w:after="120"/>
        <w:ind w:left="0"/>
        <w:rPr>
          <w:rFonts w:asciiTheme="minorHAnsi" w:eastAsiaTheme="minorHAnsi" w:hAnsiTheme="minorHAnsi" w:cstheme="minorBidi"/>
          <w:b/>
          <w:u w:val="single"/>
          <w:lang w:eastAsia="en-US"/>
        </w:rPr>
      </w:pPr>
      <w:r w:rsidRPr="00115C1F">
        <w:rPr>
          <w:rFonts w:asciiTheme="minorHAnsi" w:eastAsiaTheme="minorHAnsi" w:hAnsiTheme="minorHAnsi" w:cstheme="minorBidi"/>
          <w:b/>
          <w:u w:val="single"/>
          <w:lang w:eastAsia="en-US"/>
        </w:rPr>
        <w:t>Vorbemerkungen:</w:t>
      </w:r>
    </w:p>
    <w:p w:rsidR="00711529" w:rsidRPr="00D5067F" w:rsidRDefault="00711529"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Abkehr von nationaler Geschichtsschreibung und Hinwendung zu transnationalen Prozessen</w:t>
      </w:r>
    </w:p>
    <w:p w:rsidR="00444EC3" w:rsidRPr="00D5067F" w:rsidRDefault="00444EC3"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Versuch, die politisch tief zerfurchten Jahre zwischen 1890 und 1970 als kohärente historische Einheit zu begreifen</w:t>
      </w:r>
    </w:p>
    <w:p w:rsidR="00711529" w:rsidRPr="00D5067F" w:rsidRDefault="00711529"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Zeitraum ab 1880 – 1970 als Teilepoche der europäischen Moderne, in der sich die Übergänge aus älteren Sozial- und Herrschaftsstrukturen breitenwirksam entfalteten</w:t>
      </w:r>
    </w:p>
    <w:p w:rsidR="00711529" w:rsidRPr="00D5067F" w:rsidRDefault="00711529"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 xml:space="preserve">Abkehr von der Zeit von 1840-1870 als Beginn der Moderne zugunsten des Beginns erst ca. 25 Jahre vor dem Ersten Weltkrieg („Jahrhundertwende als Büchse der </w:t>
      </w:r>
      <w:proofErr w:type="spellStart"/>
      <w:r w:rsidRPr="00D5067F">
        <w:rPr>
          <w:rFonts w:asciiTheme="minorHAnsi" w:eastAsiaTheme="minorHAnsi" w:hAnsiTheme="minorHAnsi" w:cstheme="minorBidi"/>
          <w:lang w:eastAsia="en-US"/>
        </w:rPr>
        <w:t>Pandorra</w:t>
      </w:r>
      <w:proofErr w:type="spellEnd"/>
      <w:r w:rsidRPr="00D5067F">
        <w:rPr>
          <w:rFonts w:asciiTheme="minorHAnsi" w:eastAsiaTheme="minorHAnsi" w:hAnsiTheme="minorHAnsi" w:cstheme="minorBidi"/>
          <w:lang w:eastAsia="en-US"/>
        </w:rPr>
        <w:t>“)</w:t>
      </w:r>
    </w:p>
    <w:p w:rsidR="00711529" w:rsidRPr="00D5067F" w:rsidRDefault="00711529"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 xml:space="preserve">Anknüpfung an die Definition der „klassische Moderne“: Entstehung einer Massenkultur und sowie einer Massenöffentlichkeit </w:t>
      </w:r>
    </w:p>
    <w:p w:rsidR="00BE717D" w:rsidRPr="00D5067F" w:rsidRDefault="00BE717D" w:rsidP="00115C1F">
      <w:pPr>
        <w:spacing w:before="120" w:after="120" w:line="240" w:lineRule="auto"/>
        <w:rPr>
          <w:sz w:val="24"/>
          <w:szCs w:val="24"/>
        </w:rPr>
      </w:pPr>
      <w:r w:rsidRPr="00D5067F">
        <w:rPr>
          <w:sz w:val="24"/>
          <w:szCs w:val="24"/>
        </w:rPr>
        <w:sym w:font="Wingdings" w:char="F0E0"/>
      </w:r>
      <w:r w:rsidRPr="00D5067F">
        <w:rPr>
          <w:sz w:val="24"/>
          <w:szCs w:val="24"/>
        </w:rPr>
        <w:t xml:space="preserve"> Konzept der Hoch- beziehungsweise Industriemoderne zwischen 1890 und 1980 prägte</w:t>
      </w:r>
      <w:r w:rsidR="00115C1F">
        <w:rPr>
          <w:sz w:val="24"/>
          <w:szCs w:val="24"/>
        </w:rPr>
        <w:t xml:space="preserve"> d</w:t>
      </w:r>
      <w:r w:rsidRPr="00D5067F">
        <w:rPr>
          <w:sz w:val="24"/>
          <w:szCs w:val="24"/>
        </w:rPr>
        <w:t>ie politischen und gesellschaftlichen Ordnungsentwürfe, die aus den ideologischen Strömungen Liberalismus/liberale Demokratie, Bolschewismus/Kommunismus und extremer Nationalismus/Nationalsozialismus erwuchsen, interpretierte er als unterschiedliche Antworten auf die Herausforderungen der modernen Industriegesellschaft</w:t>
      </w:r>
    </w:p>
    <w:p w:rsidR="00BE717D" w:rsidRPr="00D5067F" w:rsidRDefault="00BE717D" w:rsidP="00115C1F">
      <w:pPr>
        <w:spacing w:before="120" w:after="120" w:line="240" w:lineRule="auto"/>
        <w:rPr>
          <w:sz w:val="24"/>
          <w:szCs w:val="24"/>
        </w:rPr>
      </w:pPr>
    </w:p>
    <w:p w:rsidR="00711529" w:rsidRPr="00D5067F" w:rsidRDefault="00711529" w:rsidP="00115C1F">
      <w:pPr>
        <w:pStyle w:val="Listenabsatz"/>
        <w:spacing w:before="120" w:after="120"/>
        <w:ind w:left="0"/>
        <w:rPr>
          <w:rFonts w:asciiTheme="minorHAnsi" w:eastAsiaTheme="minorHAnsi" w:hAnsiTheme="minorHAnsi" w:cstheme="minorBidi"/>
          <w:b/>
          <w:u w:val="single"/>
          <w:lang w:eastAsia="en-US"/>
        </w:rPr>
      </w:pPr>
      <w:r w:rsidRPr="00D5067F">
        <w:rPr>
          <w:rFonts w:asciiTheme="minorHAnsi" w:eastAsiaTheme="minorHAnsi" w:hAnsiTheme="minorHAnsi" w:cstheme="minorBidi"/>
          <w:b/>
          <w:u w:val="single"/>
          <w:lang w:eastAsia="en-US"/>
        </w:rPr>
        <w:t>11.1. Wege in die westliche Moderne/ Wege in die Moderne</w:t>
      </w:r>
    </w:p>
    <w:p w:rsidR="0061042D" w:rsidRPr="00D5067F" w:rsidRDefault="00115C1F"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Modernisierung erfolgte in einem Zeitraum von weniger als 30 Jahren und führte aufgrund dieser Veränderungsdynamik zu einer „Schockwelle“</w:t>
      </w:r>
    </w:p>
    <w:p w:rsidR="0061042D" w:rsidRPr="00D5067F" w:rsidRDefault="00115C1F"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Intensität und Dynamik der Veränderung als enormer Fortschritt und zugleich tiefe existentielle Krise wahrgenommen und führten zu radikalen Experimente</w:t>
      </w:r>
      <w:r w:rsidR="0019186C" w:rsidRPr="00D5067F">
        <w:rPr>
          <w:rFonts w:asciiTheme="minorHAnsi" w:eastAsiaTheme="minorHAnsi" w:hAnsiTheme="minorHAnsi" w:cstheme="minorBidi"/>
          <w:lang w:eastAsia="en-US"/>
        </w:rPr>
        <w:t>n</w:t>
      </w:r>
      <w:r w:rsidRPr="00D5067F">
        <w:rPr>
          <w:rFonts w:asciiTheme="minorHAnsi" w:eastAsiaTheme="minorHAnsi" w:hAnsiTheme="minorHAnsi" w:cstheme="minorBidi"/>
          <w:lang w:eastAsia="en-US"/>
        </w:rPr>
        <w:t xml:space="preserve"> bzw. traditionellen Schutzmaßnahmen </w:t>
      </w:r>
    </w:p>
    <w:p w:rsidR="00C82E80" w:rsidRPr="00D5067F" w:rsidRDefault="00115C1F"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nachfolgende – teilweise katastrophale – politische Ereignisse sind Reaktion auf die Moderne</w:t>
      </w:r>
    </w:p>
    <w:p w:rsidR="006D0989" w:rsidRPr="00D5067F" w:rsidRDefault="006D0989" w:rsidP="00115C1F">
      <w:pPr>
        <w:spacing w:before="120" w:after="120" w:line="240" w:lineRule="auto"/>
        <w:rPr>
          <w:b/>
          <w:sz w:val="24"/>
          <w:szCs w:val="24"/>
        </w:rPr>
      </w:pPr>
    </w:p>
    <w:p w:rsidR="00711529" w:rsidRPr="00D5067F" w:rsidRDefault="00711529" w:rsidP="00115C1F">
      <w:pPr>
        <w:spacing w:before="120" w:after="120" w:line="240" w:lineRule="auto"/>
        <w:rPr>
          <w:b/>
          <w:sz w:val="24"/>
          <w:szCs w:val="24"/>
          <w:u w:val="single"/>
        </w:rPr>
      </w:pPr>
      <w:r w:rsidRPr="00D5067F">
        <w:rPr>
          <w:b/>
          <w:sz w:val="24"/>
          <w:szCs w:val="24"/>
          <w:u w:val="single"/>
        </w:rPr>
        <w:t>11.2. Gegenentwürfe zur parlamentarischen Demokratie/ Bedrohung von Demokratie und Freiheit</w:t>
      </w:r>
    </w:p>
    <w:p w:rsidR="00C82E80" w:rsidRPr="00D5067F" w:rsidRDefault="00C82E80"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nach den zerstörerischen Prozessen im  Ersten Weltkrieges wuchs die Überzeugung, dass das liberale Modell der bürgerlichen Gesellschaft gescheitert war und nur durch ein ideologisches Gesamtmodell zu überwinden sei: entweder durch das rechtsradikales Modell des auf biologischer A</w:t>
      </w:r>
      <w:bookmarkStart w:id="0" w:name="_GoBack"/>
      <w:bookmarkEnd w:id="0"/>
      <w:r w:rsidRPr="00D5067F">
        <w:rPr>
          <w:rFonts w:asciiTheme="minorHAnsi" w:eastAsiaTheme="minorHAnsi" w:hAnsiTheme="minorHAnsi" w:cstheme="minorBidi"/>
          <w:lang w:eastAsia="en-US"/>
        </w:rPr>
        <w:t>bstammung beruhenden völkischen Nationalismus oder durch das linksradikale Modell der sozialen Ungleichheit und des Internationalismus</w:t>
      </w:r>
    </w:p>
    <w:p w:rsidR="00C82E80" w:rsidRPr="00D5067F" w:rsidRDefault="00C82E80"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Zwischen 1922 und 1939 entstanden fast überall in Europa antidemokratische Systeme als Gegenmodelle zum Liberalismus („alternative Moderne“)</w:t>
      </w:r>
    </w:p>
    <w:p w:rsidR="00C82E80" w:rsidRPr="00D5067F" w:rsidRDefault="00C82E80"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Sieg der Anti-Hitler-Koalition beendete die völkisch-nationale Alternative, die für einen beispiellosen Massenmord verantwortlich war und führte zugleich zur Aufwertung des anderen Modells</w:t>
      </w:r>
    </w:p>
    <w:p w:rsidR="00711529" w:rsidRPr="00115C1F" w:rsidRDefault="00711529" w:rsidP="00115C1F">
      <w:pPr>
        <w:spacing w:before="120" w:after="120" w:line="240" w:lineRule="auto"/>
        <w:rPr>
          <w:b/>
          <w:sz w:val="24"/>
          <w:szCs w:val="24"/>
          <w:u w:val="single"/>
        </w:rPr>
      </w:pPr>
      <w:r w:rsidRPr="00115C1F">
        <w:rPr>
          <w:b/>
          <w:sz w:val="24"/>
          <w:szCs w:val="24"/>
          <w:u w:val="single"/>
        </w:rPr>
        <w:lastRenderedPageBreak/>
        <w:t>12.1. Streben nach Wohlstand und Partizipation in West- und Osteuropa/ Wege in die postindustrielle Zivilgesellschaft</w:t>
      </w:r>
    </w:p>
    <w:p w:rsidR="00C82E80" w:rsidRPr="00D5067F" w:rsidRDefault="00C82E80"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Überlegenheit des demokratisch-kapitalistischen Liberalismus nur in politisch-institutioneller Sicht, nicht aber gesellschaftlich, wo nach 1945 eine „Revitalisierung“ alter Werte zu beobachten ist</w:t>
      </w:r>
    </w:p>
    <w:p w:rsidR="00C82E80" w:rsidRPr="00D5067F" w:rsidRDefault="00C82E80"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Erst aufgrund des wirtschaftlichen Wachstums und der damit verbundenen sozialen Stabilität konnte sich ab den 1960er Jahren in Westeuropa ein Bedürfnis nach Neuorientierung der Lebensstile und ein breiter Emanzipationsprozess entwickeln</w:t>
      </w:r>
    </w:p>
    <w:p w:rsidR="00711529" w:rsidRPr="00D5067F" w:rsidRDefault="00C82E80"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mangelnde Flexibilität, geringer wirtschaftlicher Erfolg und steigende Attraktivität des Westens führte ab den 1970er Jahren zu tiefgreifenden Krisen in Osteuropa, die 1990 als Systembruch ihren Höhepunkt fanden</w:t>
      </w:r>
    </w:p>
    <w:p w:rsidR="00C82E80" w:rsidRPr="00D5067F" w:rsidRDefault="00C82E80" w:rsidP="00115C1F">
      <w:pPr>
        <w:pStyle w:val="Listenabsatz"/>
        <w:numPr>
          <w:ilvl w:val="0"/>
          <w:numId w:val="3"/>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Zusammenbruch des Sozialismus als Ende der radikalen Reaktionen auf die Krise der bürgerlichen Gesellschaft seit Beginn des 20. Jahrhunderts und Triumph der westlichen Konsum- und Zivilgesellschaft</w:t>
      </w:r>
    </w:p>
    <w:p w:rsidR="00C82E80" w:rsidRPr="00D5067F" w:rsidRDefault="00B324B9" w:rsidP="00115C1F">
      <w:pPr>
        <w:pStyle w:val="Listenabsatz"/>
        <w:numPr>
          <w:ilvl w:val="0"/>
          <w:numId w:val="4"/>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In den 1970er Jahren breiter Konsens</w:t>
      </w:r>
      <w:r w:rsidR="00C82E80" w:rsidRPr="00D5067F">
        <w:rPr>
          <w:rFonts w:asciiTheme="minorHAnsi" w:eastAsiaTheme="minorHAnsi" w:hAnsiTheme="minorHAnsi" w:cstheme="minorBidi"/>
          <w:lang w:eastAsia="en-US"/>
        </w:rPr>
        <w:t xml:space="preserve"> liberalen demokratischen Konsum- und Zivilgesellschaften mit ausgewogener Mischung aus liberaler und sozialer Marktwirtschaft, staatlicher Fürsorge und privater Risiken, </w:t>
      </w:r>
      <w:r w:rsidR="00711529" w:rsidRPr="00D5067F">
        <w:rPr>
          <w:rFonts w:asciiTheme="minorHAnsi" w:eastAsiaTheme="minorHAnsi" w:hAnsiTheme="minorHAnsi" w:cstheme="minorBidi"/>
          <w:lang w:eastAsia="en-US"/>
        </w:rPr>
        <w:t>Tradition und Moderne, Individualismus und kommunaler Strukturen, nationaler Autonomie und supranationalen Beziehungen</w:t>
      </w:r>
    </w:p>
    <w:p w:rsidR="00B324B9" w:rsidRPr="00D5067F" w:rsidRDefault="00B324B9" w:rsidP="00115C1F">
      <w:pPr>
        <w:pStyle w:val="Listenabsatz"/>
        <w:numPr>
          <w:ilvl w:val="0"/>
          <w:numId w:val="4"/>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Ab dem Zeitpunkt ein</w:t>
      </w:r>
      <w:r w:rsidR="00C82D10" w:rsidRPr="00D5067F">
        <w:rPr>
          <w:rFonts w:asciiTheme="minorHAnsi" w:eastAsiaTheme="minorHAnsi" w:hAnsiTheme="minorHAnsi" w:cstheme="minorBidi"/>
          <w:lang w:eastAsia="en-US"/>
        </w:rPr>
        <w:t>e</w:t>
      </w:r>
      <w:r w:rsidRPr="00D5067F">
        <w:rPr>
          <w:rFonts w:asciiTheme="minorHAnsi" w:eastAsiaTheme="minorHAnsi" w:hAnsiTheme="minorHAnsi" w:cstheme="minorBidi"/>
          <w:lang w:eastAsia="en-US"/>
        </w:rPr>
        <w:t xml:space="preserve">s breiten Konsenses in </w:t>
      </w:r>
      <w:r w:rsidR="00C82D10" w:rsidRPr="00D5067F">
        <w:rPr>
          <w:rFonts w:asciiTheme="minorHAnsi" w:eastAsiaTheme="minorHAnsi" w:hAnsiTheme="minorHAnsi" w:cstheme="minorBidi"/>
          <w:lang w:eastAsia="en-US"/>
        </w:rPr>
        <w:t>W</w:t>
      </w:r>
      <w:r w:rsidRPr="00D5067F">
        <w:rPr>
          <w:rFonts w:asciiTheme="minorHAnsi" w:eastAsiaTheme="minorHAnsi" w:hAnsiTheme="minorHAnsi" w:cstheme="minorBidi"/>
          <w:lang w:eastAsia="en-US"/>
        </w:rPr>
        <w:t>esteuropa begannen sich die Grundlagen der kapitalisti</w:t>
      </w:r>
      <w:r w:rsidR="00C82D10" w:rsidRPr="00D5067F">
        <w:rPr>
          <w:rFonts w:asciiTheme="minorHAnsi" w:eastAsiaTheme="minorHAnsi" w:hAnsiTheme="minorHAnsi" w:cstheme="minorBidi"/>
          <w:lang w:eastAsia="en-US"/>
        </w:rPr>
        <w:t>s</w:t>
      </w:r>
      <w:r w:rsidRPr="00D5067F">
        <w:rPr>
          <w:rFonts w:asciiTheme="minorHAnsi" w:eastAsiaTheme="minorHAnsi" w:hAnsiTheme="minorHAnsi" w:cstheme="minorBidi"/>
          <w:lang w:eastAsia="en-US"/>
        </w:rPr>
        <w:t>chen Industriegesell</w:t>
      </w:r>
      <w:r w:rsidR="00C82D10" w:rsidRPr="00D5067F">
        <w:rPr>
          <w:rFonts w:asciiTheme="minorHAnsi" w:eastAsiaTheme="minorHAnsi" w:hAnsiTheme="minorHAnsi" w:cstheme="minorBidi"/>
          <w:lang w:eastAsia="en-US"/>
        </w:rPr>
        <w:t>s</w:t>
      </w:r>
      <w:r w:rsidRPr="00D5067F">
        <w:rPr>
          <w:rFonts w:asciiTheme="minorHAnsi" w:eastAsiaTheme="minorHAnsi" w:hAnsiTheme="minorHAnsi" w:cstheme="minorBidi"/>
          <w:lang w:eastAsia="en-US"/>
        </w:rPr>
        <w:t>chaft zu verä</w:t>
      </w:r>
      <w:r w:rsidR="00C82D10" w:rsidRPr="00D5067F">
        <w:rPr>
          <w:rFonts w:asciiTheme="minorHAnsi" w:eastAsiaTheme="minorHAnsi" w:hAnsiTheme="minorHAnsi" w:cstheme="minorBidi"/>
          <w:lang w:eastAsia="en-US"/>
        </w:rPr>
        <w:t>ndern</w:t>
      </w:r>
      <w:r w:rsidR="008D4C41" w:rsidRPr="00D5067F">
        <w:rPr>
          <w:rFonts w:asciiTheme="minorHAnsi" w:eastAsiaTheme="minorHAnsi" w:hAnsiTheme="minorHAnsi" w:cstheme="minorBidi"/>
          <w:lang w:eastAsia="en-US"/>
        </w:rPr>
        <w:t xml:space="preserve"> und anstelle der Ost-West-Konfrontation traten neue Herausforderungen Umweltproblematik, globalisierte Kapital- und Warenströme, Digitalisierung, sinkende Bedeutung der Nationalstaaten wegen supranationaler Bündnisse, Migration, Geschlechtergerechtigkeit</w:t>
      </w:r>
    </w:p>
    <w:p w:rsidR="008D4C41" w:rsidRPr="00D5067F" w:rsidRDefault="008D4C41" w:rsidP="00115C1F">
      <w:pPr>
        <w:pStyle w:val="Listenabsatz"/>
        <w:numPr>
          <w:ilvl w:val="0"/>
          <w:numId w:val="4"/>
        </w:numPr>
        <w:spacing w:before="120" w:after="120"/>
        <w:ind w:left="0" w:firstLine="0"/>
        <w:rPr>
          <w:rFonts w:asciiTheme="minorHAnsi" w:eastAsiaTheme="minorHAnsi" w:hAnsiTheme="minorHAnsi" w:cstheme="minorBidi"/>
          <w:lang w:eastAsia="en-US"/>
        </w:rPr>
      </w:pPr>
      <w:r w:rsidRPr="00D5067F">
        <w:rPr>
          <w:rFonts w:asciiTheme="minorHAnsi" w:eastAsiaTheme="minorHAnsi" w:hAnsiTheme="minorHAnsi" w:cstheme="minorBidi"/>
          <w:lang w:eastAsia="en-US"/>
        </w:rPr>
        <w:t>Diese neuen Herausforderungen trugen ebenfalls zum endgültigen Untergang des Sowjetsystems mit bei, da dieses nicht mehr als Zukunftsvision gesehen wurde</w:t>
      </w:r>
    </w:p>
    <w:p w:rsidR="00711529" w:rsidRPr="00D5067F" w:rsidRDefault="00711529" w:rsidP="00115C1F">
      <w:pPr>
        <w:spacing w:before="120" w:after="120" w:line="240" w:lineRule="auto"/>
        <w:rPr>
          <w:sz w:val="24"/>
          <w:szCs w:val="24"/>
        </w:rPr>
      </w:pPr>
    </w:p>
    <w:p w:rsidR="00C82E80" w:rsidRPr="00D5067F" w:rsidRDefault="00711529" w:rsidP="00115C1F">
      <w:pPr>
        <w:spacing w:before="120" w:after="120" w:line="240" w:lineRule="auto"/>
        <w:rPr>
          <w:b/>
          <w:sz w:val="24"/>
          <w:szCs w:val="24"/>
          <w:u w:val="single"/>
        </w:rPr>
      </w:pPr>
      <w:r w:rsidRPr="00D5067F">
        <w:rPr>
          <w:b/>
          <w:sz w:val="24"/>
          <w:szCs w:val="24"/>
          <w:u w:val="single"/>
        </w:rPr>
        <w:t>Fazit</w:t>
      </w:r>
      <w:r w:rsidR="00B324B9" w:rsidRPr="00D5067F">
        <w:rPr>
          <w:b/>
          <w:sz w:val="24"/>
          <w:szCs w:val="24"/>
          <w:u w:val="single"/>
        </w:rPr>
        <w:t>:</w:t>
      </w:r>
    </w:p>
    <w:p w:rsidR="008D4C41" w:rsidRPr="00D5067F" w:rsidRDefault="00C82E80" w:rsidP="00115C1F">
      <w:pPr>
        <w:spacing w:before="120" w:after="120" w:line="240" w:lineRule="auto"/>
        <w:rPr>
          <w:sz w:val="24"/>
          <w:szCs w:val="24"/>
        </w:rPr>
      </w:pPr>
      <w:r w:rsidRPr="00D5067F">
        <w:rPr>
          <w:sz w:val="24"/>
          <w:szCs w:val="24"/>
        </w:rPr>
        <w:sym w:font="Wingdings" w:char="F0E0"/>
      </w:r>
      <w:r w:rsidRPr="00D5067F">
        <w:rPr>
          <w:sz w:val="24"/>
          <w:szCs w:val="24"/>
        </w:rPr>
        <w:t xml:space="preserve"> </w:t>
      </w:r>
      <w:r w:rsidR="008D4C41" w:rsidRPr="00D5067F">
        <w:rPr>
          <w:sz w:val="24"/>
          <w:szCs w:val="24"/>
        </w:rPr>
        <w:t>seit Ende des 19. Jahrhunderts Phase des schnellen Wandels der europäischen Gesellschaften, in der in allen Bereichen immer wieder nach geeigneten Strategien zur Bewältigung der Herausforderungen gesucht wurde, die in den späten 1960er und frühen 1970er Jahren endete</w:t>
      </w:r>
    </w:p>
    <w:p w:rsidR="00444EC3" w:rsidRPr="00D5067F" w:rsidRDefault="008D4C41" w:rsidP="00115C1F">
      <w:pPr>
        <w:spacing w:before="120" w:after="120" w:line="240" w:lineRule="auto"/>
        <w:rPr>
          <w:sz w:val="24"/>
          <w:szCs w:val="24"/>
        </w:rPr>
      </w:pPr>
      <w:r w:rsidRPr="00D5067F">
        <w:rPr>
          <w:sz w:val="24"/>
          <w:szCs w:val="24"/>
        </w:rPr>
        <w:sym w:font="Wingdings" w:char="F0E0"/>
      </w:r>
      <w:r w:rsidRPr="00D5067F">
        <w:rPr>
          <w:sz w:val="24"/>
          <w:szCs w:val="24"/>
        </w:rPr>
        <w:t xml:space="preserve"> </w:t>
      </w:r>
      <w:r w:rsidR="00B324B9" w:rsidRPr="00D5067F">
        <w:rPr>
          <w:sz w:val="24"/>
          <w:szCs w:val="24"/>
        </w:rPr>
        <w:t>ab den 1970er Jahren scheinen Probleme seit Jahrhundertwende gelöst</w:t>
      </w:r>
      <w:r w:rsidRPr="00D5067F">
        <w:rPr>
          <w:sz w:val="24"/>
          <w:szCs w:val="24"/>
        </w:rPr>
        <w:t xml:space="preserve"> durch breiten Konsens inn</w:t>
      </w:r>
      <w:r w:rsidR="00444EC3" w:rsidRPr="00D5067F">
        <w:rPr>
          <w:sz w:val="24"/>
          <w:szCs w:val="24"/>
        </w:rPr>
        <w:t>e</w:t>
      </w:r>
      <w:r w:rsidRPr="00D5067F">
        <w:rPr>
          <w:sz w:val="24"/>
          <w:szCs w:val="24"/>
        </w:rPr>
        <w:t xml:space="preserve">rhalb der liberalen demokratischen Konsum- und Zivilgesellschaften </w:t>
      </w:r>
      <w:r w:rsidR="00444EC3" w:rsidRPr="00D5067F">
        <w:rPr>
          <w:sz w:val="24"/>
          <w:szCs w:val="24"/>
        </w:rPr>
        <w:t>und hoher Faszination dieses Modells sowie fehlender Zukunftsvision im sozialistischen System</w:t>
      </w:r>
    </w:p>
    <w:p w:rsidR="00444EC3" w:rsidRPr="00D5067F" w:rsidRDefault="00444EC3" w:rsidP="00115C1F">
      <w:pPr>
        <w:spacing w:before="120" w:after="120" w:line="240" w:lineRule="auto"/>
        <w:rPr>
          <w:sz w:val="24"/>
          <w:szCs w:val="24"/>
        </w:rPr>
      </w:pPr>
      <w:r w:rsidRPr="00D5067F">
        <w:rPr>
          <w:sz w:val="24"/>
          <w:szCs w:val="24"/>
        </w:rPr>
        <w:sym w:font="Wingdings" w:char="F0E0"/>
      </w:r>
      <w:r w:rsidRPr="00D5067F">
        <w:rPr>
          <w:sz w:val="24"/>
          <w:szCs w:val="24"/>
        </w:rPr>
        <w:t xml:space="preserve"> nachfolgende Zeit weder „Postmoderne“, da die mühevoll erarbeiteten erfolgreichen Antworten gültig blieben, noch „postindustriell“, da Kohle- und Stahlindustrie durch neue Industrien in IT- und Biochemie abgelöst wurden</w:t>
      </w:r>
    </w:p>
    <w:p w:rsidR="00444EC3" w:rsidRPr="00D5067F" w:rsidRDefault="00444EC3" w:rsidP="00115C1F">
      <w:pPr>
        <w:spacing w:before="120" w:after="120" w:line="240" w:lineRule="auto"/>
        <w:rPr>
          <w:sz w:val="24"/>
          <w:szCs w:val="24"/>
        </w:rPr>
      </w:pPr>
      <w:r w:rsidRPr="00D5067F">
        <w:rPr>
          <w:sz w:val="24"/>
          <w:szCs w:val="24"/>
        </w:rPr>
        <w:sym w:font="Wingdings" w:char="F0E0"/>
      </w:r>
      <w:r w:rsidRPr="00D5067F">
        <w:rPr>
          <w:sz w:val="24"/>
          <w:szCs w:val="24"/>
        </w:rPr>
        <w:t xml:space="preserve"> Hochmoderne war geprägt von der Hegemonie des Industrialismus, dem Widerspruch zwischen dynamischen Veränderungen und radikalen traditionellen Gegenmodellen auf der linken und rechten Seite </w:t>
      </w:r>
    </w:p>
    <w:p w:rsidR="00D5067F" w:rsidRDefault="00B324B9" w:rsidP="00115C1F">
      <w:pPr>
        <w:spacing w:before="120" w:after="120" w:line="240" w:lineRule="auto"/>
        <w:rPr>
          <w:sz w:val="24"/>
          <w:szCs w:val="24"/>
        </w:rPr>
      </w:pPr>
      <w:r w:rsidRPr="00D5067F">
        <w:rPr>
          <w:sz w:val="24"/>
          <w:szCs w:val="24"/>
        </w:rPr>
        <w:sym w:font="Wingdings" w:char="F0E0"/>
      </w:r>
      <w:r w:rsidRPr="00D5067F">
        <w:rPr>
          <w:sz w:val="24"/>
          <w:szCs w:val="24"/>
        </w:rPr>
        <w:t xml:space="preserve"> M</w:t>
      </w:r>
      <w:r w:rsidR="00C82E80" w:rsidRPr="00D5067F">
        <w:rPr>
          <w:sz w:val="24"/>
          <w:szCs w:val="24"/>
        </w:rPr>
        <w:t>oderne nicht als Ensemble fester Prinzipien, sondern als offenen Prozess begreifen</w:t>
      </w:r>
    </w:p>
    <w:p w:rsidR="00FA63D8" w:rsidRPr="00D5067F" w:rsidRDefault="00D5067F" w:rsidP="00115C1F">
      <w:pPr>
        <w:spacing w:before="120" w:after="120" w:line="240" w:lineRule="auto"/>
        <w:rPr>
          <w:sz w:val="24"/>
          <w:szCs w:val="24"/>
        </w:rPr>
      </w:pPr>
      <w:r w:rsidRPr="00997794">
        <w:rPr>
          <w:sz w:val="24"/>
          <w:szCs w:val="24"/>
        </w:rPr>
        <w:sym w:font="Wingdings" w:char="F0E0"/>
      </w:r>
      <w:r w:rsidRPr="00997794">
        <w:rPr>
          <w:sz w:val="24"/>
          <w:szCs w:val="24"/>
        </w:rPr>
        <w:t xml:space="preserve"> </w:t>
      </w:r>
      <w:r w:rsidR="00C82E80" w:rsidRPr="00997794">
        <w:rPr>
          <w:sz w:val="24"/>
          <w:szCs w:val="24"/>
        </w:rPr>
        <w:t xml:space="preserve">Verhältnis zw. Strukturwandel und Wertehaltung bzw. politischen Gestaltungsoptionen als </w:t>
      </w:r>
      <w:r w:rsidR="00997794">
        <w:rPr>
          <w:sz w:val="24"/>
          <w:szCs w:val="24"/>
        </w:rPr>
        <w:t>„</w:t>
      </w:r>
      <w:proofErr w:type="spellStart"/>
      <w:r w:rsidR="00C82E80" w:rsidRPr="00997794">
        <w:rPr>
          <w:sz w:val="24"/>
          <w:szCs w:val="24"/>
        </w:rPr>
        <w:t>challenge</w:t>
      </w:r>
      <w:proofErr w:type="spellEnd"/>
      <w:r w:rsidR="00C82E80" w:rsidRPr="00997794">
        <w:rPr>
          <w:sz w:val="24"/>
          <w:szCs w:val="24"/>
        </w:rPr>
        <w:t xml:space="preserve"> </w:t>
      </w:r>
      <w:r w:rsidR="00997794">
        <w:rPr>
          <w:sz w:val="24"/>
          <w:szCs w:val="24"/>
        </w:rPr>
        <w:t>and</w:t>
      </w:r>
      <w:r w:rsidR="00C82E80" w:rsidRPr="00997794">
        <w:rPr>
          <w:sz w:val="24"/>
          <w:szCs w:val="24"/>
        </w:rPr>
        <w:t xml:space="preserve"> </w:t>
      </w:r>
      <w:proofErr w:type="spellStart"/>
      <w:r w:rsidR="00C82E80" w:rsidRPr="00997794">
        <w:rPr>
          <w:sz w:val="24"/>
          <w:szCs w:val="24"/>
        </w:rPr>
        <w:t>response</w:t>
      </w:r>
      <w:proofErr w:type="spellEnd"/>
      <w:r w:rsidR="00997794">
        <w:rPr>
          <w:sz w:val="24"/>
          <w:szCs w:val="24"/>
        </w:rPr>
        <w:t>“</w:t>
      </w:r>
      <w:r w:rsidR="00C82E80" w:rsidRPr="00997794">
        <w:rPr>
          <w:sz w:val="24"/>
          <w:szCs w:val="24"/>
        </w:rPr>
        <w:t xml:space="preserve"> </w:t>
      </w:r>
      <w:r w:rsidR="00997794">
        <w:rPr>
          <w:sz w:val="24"/>
          <w:szCs w:val="24"/>
        </w:rPr>
        <w:t xml:space="preserve">(Toynbee) </w:t>
      </w:r>
      <w:r w:rsidR="00C82E80" w:rsidRPr="00997794">
        <w:rPr>
          <w:sz w:val="24"/>
          <w:szCs w:val="24"/>
        </w:rPr>
        <w:t>bezeichnet</w:t>
      </w:r>
    </w:p>
    <w:sectPr w:rsidR="00FA63D8" w:rsidRPr="00D5067F" w:rsidSect="00C82E80">
      <w:footerReference w:type="default" r:id="rId7"/>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EB9" w:rsidRDefault="00EC1EB9" w:rsidP="002B2068">
      <w:pPr>
        <w:spacing w:after="0" w:line="240" w:lineRule="auto"/>
      </w:pPr>
      <w:r>
        <w:separator/>
      </w:r>
    </w:p>
  </w:endnote>
  <w:endnote w:type="continuationSeparator" w:id="0">
    <w:p w:rsidR="00EC1EB9" w:rsidRDefault="00EC1EB9" w:rsidP="002B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E7" w:rsidRDefault="007F2DE7" w:rsidP="007F2DE7">
    <w:pPr>
      <w:pStyle w:val="Kopfzeile"/>
    </w:pPr>
    <w:r>
      <w:t>ZPG Geschichte, Kursstufe</w:t>
    </w:r>
    <w:r>
      <w:tab/>
    </w:r>
    <w:r>
      <w:tab/>
      <w:t>02.-04.03.2020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EB9" w:rsidRDefault="00EC1EB9" w:rsidP="002B2068">
      <w:pPr>
        <w:spacing w:after="0" w:line="240" w:lineRule="auto"/>
      </w:pPr>
      <w:r>
        <w:separator/>
      </w:r>
    </w:p>
  </w:footnote>
  <w:footnote w:type="continuationSeparator" w:id="0">
    <w:p w:rsidR="00EC1EB9" w:rsidRDefault="00EC1EB9" w:rsidP="002B2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27F"/>
    <w:multiLevelType w:val="hybridMultilevel"/>
    <w:tmpl w:val="93827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902DD"/>
    <w:multiLevelType w:val="hybridMultilevel"/>
    <w:tmpl w:val="0EBCBA36"/>
    <w:lvl w:ilvl="0" w:tplc="478AEF1A">
      <w:start w:val="1"/>
      <w:numFmt w:val="bullet"/>
      <w:lvlText w:val="-"/>
      <w:lvlJc w:val="left"/>
      <w:pPr>
        <w:tabs>
          <w:tab w:val="num" w:pos="720"/>
        </w:tabs>
        <w:ind w:left="720" w:hanging="360"/>
      </w:pPr>
      <w:rPr>
        <w:rFonts w:ascii="Times New Roman" w:hAnsi="Times New Roman" w:hint="default"/>
      </w:rPr>
    </w:lvl>
    <w:lvl w:ilvl="1" w:tplc="669833A4" w:tentative="1">
      <w:start w:val="1"/>
      <w:numFmt w:val="bullet"/>
      <w:lvlText w:val="-"/>
      <w:lvlJc w:val="left"/>
      <w:pPr>
        <w:tabs>
          <w:tab w:val="num" w:pos="1440"/>
        </w:tabs>
        <w:ind w:left="1440" w:hanging="360"/>
      </w:pPr>
      <w:rPr>
        <w:rFonts w:ascii="Times New Roman" w:hAnsi="Times New Roman" w:hint="default"/>
      </w:rPr>
    </w:lvl>
    <w:lvl w:ilvl="2" w:tplc="8EFA70EA" w:tentative="1">
      <w:start w:val="1"/>
      <w:numFmt w:val="bullet"/>
      <w:lvlText w:val="-"/>
      <w:lvlJc w:val="left"/>
      <w:pPr>
        <w:tabs>
          <w:tab w:val="num" w:pos="2160"/>
        </w:tabs>
        <w:ind w:left="2160" w:hanging="360"/>
      </w:pPr>
      <w:rPr>
        <w:rFonts w:ascii="Times New Roman" w:hAnsi="Times New Roman" w:hint="default"/>
      </w:rPr>
    </w:lvl>
    <w:lvl w:ilvl="3" w:tplc="5FF01592" w:tentative="1">
      <w:start w:val="1"/>
      <w:numFmt w:val="bullet"/>
      <w:lvlText w:val="-"/>
      <w:lvlJc w:val="left"/>
      <w:pPr>
        <w:tabs>
          <w:tab w:val="num" w:pos="2880"/>
        </w:tabs>
        <w:ind w:left="2880" w:hanging="360"/>
      </w:pPr>
      <w:rPr>
        <w:rFonts w:ascii="Times New Roman" w:hAnsi="Times New Roman" w:hint="default"/>
      </w:rPr>
    </w:lvl>
    <w:lvl w:ilvl="4" w:tplc="E2A8F81C" w:tentative="1">
      <w:start w:val="1"/>
      <w:numFmt w:val="bullet"/>
      <w:lvlText w:val="-"/>
      <w:lvlJc w:val="left"/>
      <w:pPr>
        <w:tabs>
          <w:tab w:val="num" w:pos="3600"/>
        </w:tabs>
        <w:ind w:left="3600" w:hanging="360"/>
      </w:pPr>
      <w:rPr>
        <w:rFonts w:ascii="Times New Roman" w:hAnsi="Times New Roman" w:hint="default"/>
      </w:rPr>
    </w:lvl>
    <w:lvl w:ilvl="5" w:tplc="E834D96E" w:tentative="1">
      <w:start w:val="1"/>
      <w:numFmt w:val="bullet"/>
      <w:lvlText w:val="-"/>
      <w:lvlJc w:val="left"/>
      <w:pPr>
        <w:tabs>
          <w:tab w:val="num" w:pos="4320"/>
        </w:tabs>
        <w:ind w:left="4320" w:hanging="360"/>
      </w:pPr>
      <w:rPr>
        <w:rFonts w:ascii="Times New Roman" w:hAnsi="Times New Roman" w:hint="default"/>
      </w:rPr>
    </w:lvl>
    <w:lvl w:ilvl="6" w:tplc="F628FEFE" w:tentative="1">
      <w:start w:val="1"/>
      <w:numFmt w:val="bullet"/>
      <w:lvlText w:val="-"/>
      <w:lvlJc w:val="left"/>
      <w:pPr>
        <w:tabs>
          <w:tab w:val="num" w:pos="5040"/>
        </w:tabs>
        <w:ind w:left="5040" w:hanging="360"/>
      </w:pPr>
      <w:rPr>
        <w:rFonts w:ascii="Times New Roman" w:hAnsi="Times New Roman" w:hint="default"/>
      </w:rPr>
    </w:lvl>
    <w:lvl w:ilvl="7" w:tplc="01243FA2" w:tentative="1">
      <w:start w:val="1"/>
      <w:numFmt w:val="bullet"/>
      <w:lvlText w:val="-"/>
      <w:lvlJc w:val="left"/>
      <w:pPr>
        <w:tabs>
          <w:tab w:val="num" w:pos="5760"/>
        </w:tabs>
        <w:ind w:left="5760" w:hanging="360"/>
      </w:pPr>
      <w:rPr>
        <w:rFonts w:ascii="Times New Roman" w:hAnsi="Times New Roman" w:hint="default"/>
      </w:rPr>
    </w:lvl>
    <w:lvl w:ilvl="8" w:tplc="756ACD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E0D630C"/>
    <w:multiLevelType w:val="hybridMultilevel"/>
    <w:tmpl w:val="4E1E6836"/>
    <w:lvl w:ilvl="0" w:tplc="04070001">
      <w:start w:val="1"/>
      <w:numFmt w:val="bullet"/>
      <w:lvlText w:val=""/>
      <w:lvlJc w:val="left"/>
      <w:pPr>
        <w:ind w:left="360" w:hanging="360"/>
      </w:pPr>
      <w:rPr>
        <w:rFonts w:ascii="Symbol" w:hAnsi="Symbol" w:hint="default"/>
      </w:rPr>
    </w:lvl>
    <w:lvl w:ilvl="1" w:tplc="3DE29BE2">
      <w:numFmt w:val="bullet"/>
      <w:lvlText w:val=""/>
      <w:lvlJc w:val="left"/>
      <w:pPr>
        <w:ind w:left="360" w:hanging="360"/>
      </w:pPr>
      <w:rPr>
        <w:rFonts w:ascii="Wingdings" w:eastAsiaTheme="minorHAnsi" w:hAnsi="Wingdings" w:cstheme="minorBidi" w:hint="default"/>
        <w:color w:val="auto"/>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F6C015B"/>
    <w:multiLevelType w:val="hybridMultilevel"/>
    <w:tmpl w:val="46E07FEE"/>
    <w:lvl w:ilvl="0" w:tplc="4F9473E0">
      <w:start w:val="1"/>
      <w:numFmt w:val="bullet"/>
      <w:lvlText w:val="-"/>
      <w:lvlJc w:val="left"/>
      <w:pPr>
        <w:tabs>
          <w:tab w:val="num" w:pos="720"/>
        </w:tabs>
        <w:ind w:left="720" w:hanging="360"/>
      </w:pPr>
      <w:rPr>
        <w:rFonts w:ascii="Times New Roman" w:hAnsi="Times New Roman" w:hint="default"/>
      </w:rPr>
    </w:lvl>
    <w:lvl w:ilvl="1" w:tplc="B6A2F01E" w:tentative="1">
      <w:start w:val="1"/>
      <w:numFmt w:val="bullet"/>
      <w:lvlText w:val="-"/>
      <w:lvlJc w:val="left"/>
      <w:pPr>
        <w:tabs>
          <w:tab w:val="num" w:pos="1440"/>
        </w:tabs>
        <w:ind w:left="1440" w:hanging="360"/>
      </w:pPr>
      <w:rPr>
        <w:rFonts w:ascii="Times New Roman" w:hAnsi="Times New Roman" w:hint="default"/>
      </w:rPr>
    </w:lvl>
    <w:lvl w:ilvl="2" w:tplc="5E4ABAAA" w:tentative="1">
      <w:start w:val="1"/>
      <w:numFmt w:val="bullet"/>
      <w:lvlText w:val="-"/>
      <w:lvlJc w:val="left"/>
      <w:pPr>
        <w:tabs>
          <w:tab w:val="num" w:pos="2160"/>
        </w:tabs>
        <w:ind w:left="2160" w:hanging="360"/>
      </w:pPr>
      <w:rPr>
        <w:rFonts w:ascii="Times New Roman" w:hAnsi="Times New Roman" w:hint="default"/>
      </w:rPr>
    </w:lvl>
    <w:lvl w:ilvl="3" w:tplc="9BDE2FDC" w:tentative="1">
      <w:start w:val="1"/>
      <w:numFmt w:val="bullet"/>
      <w:lvlText w:val="-"/>
      <w:lvlJc w:val="left"/>
      <w:pPr>
        <w:tabs>
          <w:tab w:val="num" w:pos="2880"/>
        </w:tabs>
        <w:ind w:left="2880" w:hanging="360"/>
      </w:pPr>
      <w:rPr>
        <w:rFonts w:ascii="Times New Roman" w:hAnsi="Times New Roman" w:hint="default"/>
      </w:rPr>
    </w:lvl>
    <w:lvl w:ilvl="4" w:tplc="674ADDD2" w:tentative="1">
      <w:start w:val="1"/>
      <w:numFmt w:val="bullet"/>
      <w:lvlText w:val="-"/>
      <w:lvlJc w:val="left"/>
      <w:pPr>
        <w:tabs>
          <w:tab w:val="num" w:pos="3600"/>
        </w:tabs>
        <w:ind w:left="3600" w:hanging="360"/>
      </w:pPr>
      <w:rPr>
        <w:rFonts w:ascii="Times New Roman" w:hAnsi="Times New Roman" w:hint="default"/>
      </w:rPr>
    </w:lvl>
    <w:lvl w:ilvl="5" w:tplc="41282E50" w:tentative="1">
      <w:start w:val="1"/>
      <w:numFmt w:val="bullet"/>
      <w:lvlText w:val="-"/>
      <w:lvlJc w:val="left"/>
      <w:pPr>
        <w:tabs>
          <w:tab w:val="num" w:pos="4320"/>
        </w:tabs>
        <w:ind w:left="4320" w:hanging="360"/>
      </w:pPr>
      <w:rPr>
        <w:rFonts w:ascii="Times New Roman" w:hAnsi="Times New Roman" w:hint="default"/>
      </w:rPr>
    </w:lvl>
    <w:lvl w:ilvl="6" w:tplc="13C23CCA" w:tentative="1">
      <w:start w:val="1"/>
      <w:numFmt w:val="bullet"/>
      <w:lvlText w:val="-"/>
      <w:lvlJc w:val="left"/>
      <w:pPr>
        <w:tabs>
          <w:tab w:val="num" w:pos="5040"/>
        </w:tabs>
        <w:ind w:left="5040" w:hanging="360"/>
      </w:pPr>
      <w:rPr>
        <w:rFonts w:ascii="Times New Roman" w:hAnsi="Times New Roman" w:hint="default"/>
      </w:rPr>
    </w:lvl>
    <w:lvl w:ilvl="7" w:tplc="85F0E200" w:tentative="1">
      <w:start w:val="1"/>
      <w:numFmt w:val="bullet"/>
      <w:lvlText w:val="-"/>
      <w:lvlJc w:val="left"/>
      <w:pPr>
        <w:tabs>
          <w:tab w:val="num" w:pos="5760"/>
        </w:tabs>
        <w:ind w:left="5760" w:hanging="360"/>
      </w:pPr>
      <w:rPr>
        <w:rFonts w:ascii="Times New Roman" w:hAnsi="Times New Roman" w:hint="default"/>
      </w:rPr>
    </w:lvl>
    <w:lvl w:ilvl="8" w:tplc="A76A251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80"/>
    <w:rsid w:val="00115C1F"/>
    <w:rsid w:val="0019186C"/>
    <w:rsid w:val="002B2068"/>
    <w:rsid w:val="00444EC3"/>
    <w:rsid w:val="0061042D"/>
    <w:rsid w:val="006D0989"/>
    <w:rsid w:val="00711529"/>
    <w:rsid w:val="007F2DE7"/>
    <w:rsid w:val="008D4C41"/>
    <w:rsid w:val="00997794"/>
    <w:rsid w:val="00B324B9"/>
    <w:rsid w:val="00BE717D"/>
    <w:rsid w:val="00C82D10"/>
    <w:rsid w:val="00C82E80"/>
    <w:rsid w:val="00D5067F"/>
    <w:rsid w:val="00EC1EB9"/>
    <w:rsid w:val="00FA6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9B7"/>
  <w15:chartTrackingRefBased/>
  <w15:docId w15:val="{AA6D7D57-D76F-4DCD-993C-E72D37D4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2E80"/>
    <w:pPr>
      <w:spacing w:after="0" w:line="240" w:lineRule="auto"/>
      <w:ind w:left="720"/>
      <w:contextualSpacing/>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B20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2068"/>
  </w:style>
  <w:style w:type="paragraph" w:styleId="Fuzeile">
    <w:name w:val="footer"/>
    <w:basedOn w:val="Standard"/>
    <w:link w:val="FuzeileZchn"/>
    <w:uiPriority w:val="99"/>
    <w:unhideWhenUsed/>
    <w:rsid w:val="002B20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52006">
      <w:bodyDiv w:val="1"/>
      <w:marLeft w:val="0"/>
      <w:marRight w:val="0"/>
      <w:marTop w:val="0"/>
      <w:marBottom w:val="0"/>
      <w:divBdr>
        <w:top w:val="none" w:sz="0" w:space="0" w:color="auto"/>
        <w:left w:val="none" w:sz="0" w:space="0" w:color="auto"/>
        <w:bottom w:val="none" w:sz="0" w:space="0" w:color="auto"/>
        <w:right w:val="none" w:sz="0" w:space="0" w:color="auto"/>
      </w:divBdr>
      <w:divsChild>
        <w:div w:id="444736552">
          <w:marLeft w:val="360"/>
          <w:marRight w:val="0"/>
          <w:marTop w:val="120"/>
          <w:marBottom w:val="0"/>
          <w:divBdr>
            <w:top w:val="none" w:sz="0" w:space="0" w:color="auto"/>
            <w:left w:val="none" w:sz="0" w:space="0" w:color="auto"/>
            <w:bottom w:val="none" w:sz="0" w:space="0" w:color="auto"/>
            <w:right w:val="none" w:sz="0" w:space="0" w:color="auto"/>
          </w:divBdr>
        </w:div>
        <w:div w:id="1450584800">
          <w:marLeft w:val="360"/>
          <w:marRight w:val="0"/>
          <w:marTop w:val="120"/>
          <w:marBottom w:val="0"/>
          <w:divBdr>
            <w:top w:val="none" w:sz="0" w:space="0" w:color="auto"/>
            <w:left w:val="none" w:sz="0" w:space="0" w:color="auto"/>
            <w:bottom w:val="none" w:sz="0" w:space="0" w:color="auto"/>
            <w:right w:val="none" w:sz="0" w:space="0" w:color="auto"/>
          </w:divBdr>
        </w:div>
        <w:div w:id="1485120179">
          <w:marLeft w:val="360"/>
          <w:marRight w:val="0"/>
          <w:marTop w:val="120"/>
          <w:marBottom w:val="0"/>
          <w:divBdr>
            <w:top w:val="none" w:sz="0" w:space="0" w:color="auto"/>
            <w:left w:val="none" w:sz="0" w:space="0" w:color="auto"/>
            <w:bottom w:val="none" w:sz="0" w:space="0" w:color="auto"/>
            <w:right w:val="none" w:sz="0" w:space="0" w:color="auto"/>
          </w:divBdr>
        </w:div>
        <w:div w:id="410002864">
          <w:marLeft w:val="360"/>
          <w:marRight w:val="0"/>
          <w:marTop w:val="120"/>
          <w:marBottom w:val="0"/>
          <w:divBdr>
            <w:top w:val="none" w:sz="0" w:space="0" w:color="auto"/>
            <w:left w:val="none" w:sz="0" w:space="0" w:color="auto"/>
            <w:bottom w:val="none" w:sz="0" w:space="0" w:color="auto"/>
            <w:right w:val="none" w:sz="0" w:space="0" w:color="auto"/>
          </w:divBdr>
        </w:div>
        <w:div w:id="1741907320">
          <w:marLeft w:val="360"/>
          <w:marRight w:val="0"/>
          <w:marTop w:val="120"/>
          <w:marBottom w:val="0"/>
          <w:divBdr>
            <w:top w:val="none" w:sz="0" w:space="0" w:color="auto"/>
            <w:left w:val="none" w:sz="0" w:space="0" w:color="auto"/>
            <w:bottom w:val="none" w:sz="0" w:space="0" w:color="auto"/>
            <w:right w:val="none" w:sz="0" w:space="0" w:color="auto"/>
          </w:divBdr>
        </w:div>
        <w:div w:id="606278505">
          <w:marLeft w:val="360"/>
          <w:marRight w:val="0"/>
          <w:marTop w:val="120"/>
          <w:marBottom w:val="0"/>
          <w:divBdr>
            <w:top w:val="none" w:sz="0" w:space="0" w:color="auto"/>
            <w:left w:val="none" w:sz="0" w:space="0" w:color="auto"/>
            <w:bottom w:val="none" w:sz="0" w:space="0" w:color="auto"/>
            <w:right w:val="none" w:sz="0" w:space="0" w:color="auto"/>
          </w:divBdr>
        </w:div>
        <w:div w:id="1732657492">
          <w:marLeft w:val="360"/>
          <w:marRight w:val="0"/>
          <w:marTop w:val="120"/>
          <w:marBottom w:val="0"/>
          <w:divBdr>
            <w:top w:val="none" w:sz="0" w:space="0" w:color="auto"/>
            <w:left w:val="none" w:sz="0" w:space="0" w:color="auto"/>
            <w:bottom w:val="none" w:sz="0" w:space="0" w:color="auto"/>
            <w:right w:val="none" w:sz="0" w:space="0" w:color="auto"/>
          </w:divBdr>
        </w:div>
      </w:divsChild>
    </w:div>
    <w:div w:id="1145858865">
      <w:bodyDiv w:val="1"/>
      <w:marLeft w:val="0"/>
      <w:marRight w:val="0"/>
      <w:marTop w:val="0"/>
      <w:marBottom w:val="0"/>
      <w:divBdr>
        <w:top w:val="none" w:sz="0" w:space="0" w:color="auto"/>
        <w:left w:val="none" w:sz="0" w:space="0" w:color="auto"/>
        <w:bottom w:val="none" w:sz="0" w:space="0" w:color="auto"/>
        <w:right w:val="none" w:sz="0" w:space="0" w:color="auto"/>
      </w:divBdr>
      <w:divsChild>
        <w:div w:id="956449229">
          <w:marLeft w:val="360"/>
          <w:marRight w:val="0"/>
          <w:marTop w:val="120"/>
          <w:marBottom w:val="0"/>
          <w:divBdr>
            <w:top w:val="none" w:sz="0" w:space="0" w:color="auto"/>
            <w:left w:val="none" w:sz="0" w:space="0" w:color="auto"/>
            <w:bottom w:val="none" w:sz="0" w:space="0" w:color="auto"/>
            <w:right w:val="none" w:sz="0" w:space="0" w:color="auto"/>
          </w:divBdr>
        </w:div>
        <w:div w:id="121507757">
          <w:marLeft w:val="360"/>
          <w:marRight w:val="0"/>
          <w:marTop w:val="120"/>
          <w:marBottom w:val="0"/>
          <w:divBdr>
            <w:top w:val="none" w:sz="0" w:space="0" w:color="auto"/>
            <w:left w:val="none" w:sz="0" w:space="0" w:color="auto"/>
            <w:bottom w:val="none" w:sz="0" w:space="0" w:color="auto"/>
            <w:right w:val="none" w:sz="0" w:space="0" w:color="auto"/>
          </w:divBdr>
        </w:div>
        <w:div w:id="498737225">
          <w:marLeft w:val="360"/>
          <w:marRight w:val="0"/>
          <w:marTop w:val="120"/>
          <w:marBottom w:val="0"/>
          <w:divBdr>
            <w:top w:val="none" w:sz="0" w:space="0" w:color="auto"/>
            <w:left w:val="none" w:sz="0" w:space="0" w:color="auto"/>
            <w:bottom w:val="none" w:sz="0" w:space="0" w:color="auto"/>
            <w:right w:val="none" w:sz="0" w:space="0" w:color="auto"/>
          </w:divBdr>
        </w:div>
        <w:div w:id="627779914">
          <w:marLeft w:val="360"/>
          <w:marRight w:val="0"/>
          <w:marTop w:val="120"/>
          <w:marBottom w:val="0"/>
          <w:divBdr>
            <w:top w:val="none" w:sz="0" w:space="0" w:color="auto"/>
            <w:left w:val="none" w:sz="0" w:space="0" w:color="auto"/>
            <w:bottom w:val="none" w:sz="0" w:space="0" w:color="auto"/>
            <w:right w:val="none" w:sz="0" w:space="0" w:color="auto"/>
          </w:divBdr>
        </w:div>
        <w:div w:id="614486330">
          <w:marLeft w:val="360"/>
          <w:marRight w:val="0"/>
          <w:marTop w:val="120"/>
          <w:marBottom w:val="0"/>
          <w:divBdr>
            <w:top w:val="none" w:sz="0" w:space="0" w:color="auto"/>
            <w:left w:val="none" w:sz="0" w:space="0" w:color="auto"/>
            <w:bottom w:val="none" w:sz="0" w:space="0" w:color="auto"/>
            <w:right w:val="none" w:sz="0" w:space="0" w:color="auto"/>
          </w:divBdr>
        </w:div>
        <w:div w:id="1426657603">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Schipperges</cp:lastModifiedBy>
  <cp:revision>8</cp:revision>
  <dcterms:created xsi:type="dcterms:W3CDTF">2019-07-13T09:15:00Z</dcterms:created>
  <dcterms:modified xsi:type="dcterms:W3CDTF">2020-02-29T16:53:00Z</dcterms:modified>
</cp:coreProperties>
</file>