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384" w:rsidRPr="00EB2907" w:rsidRDefault="004E5384">
      <w:pPr>
        <w:rPr>
          <w:sz w:val="20"/>
          <w:szCs w:val="20"/>
        </w:rPr>
      </w:pPr>
    </w:p>
    <w:p w:rsidR="006F39CD" w:rsidRPr="00EB2907" w:rsidRDefault="00150AF5" w:rsidP="004E5384">
      <w:pPr>
        <w:spacing w:after="120"/>
        <w:rPr>
          <w:sz w:val="20"/>
          <w:szCs w:val="20"/>
        </w:rPr>
      </w:pPr>
      <w:r w:rsidRPr="00EB2907">
        <w:rPr>
          <w:sz w:val="20"/>
          <w:szCs w:val="20"/>
        </w:rPr>
        <w:t xml:space="preserve">Methoden </w:t>
      </w:r>
      <w:r w:rsidR="00AA0FE7" w:rsidRPr="00EB2907">
        <w:rPr>
          <w:sz w:val="20"/>
          <w:szCs w:val="20"/>
        </w:rPr>
        <w:t xml:space="preserve">innerer Differenzierung </w:t>
      </w:r>
      <w:r w:rsidR="00E97E87" w:rsidRPr="00EB2907">
        <w:rPr>
          <w:sz w:val="20"/>
          <w:szCs w:val="20"/>
        </w:rPr>
        <w:t xml:space="preserve">im individualisierten </w:t>
      </w:r>
      <w:r w:rsidR="00AA0FE7" w:rsidRPr="00EB2907">
        <w:rPr>
          <w:sz w:val="20"/>
          <w:szCs w:val="20"/>
        </w:rPr>
        <w:t>Unterricht</w:t>
      </w:r>
    </w:p>
    <w:tbl>
      <w:tblPr>
        <w:tblStyle w:val="Tabellengitternetz"/>
        <w:tblW w:w="0" w:type="auto"/>
        <w:tblLayout w:type="fixed"/>
        <w:tblCellMar>
          <w:top w:w="28" w:type="dxa"/>
          <w:bottom w:w="28" w:type="dxa"/>
        </w:tblCellMar>
        <w:tblLook w:val="04A0"/>
      </w:tblPr>
      <w:tblGrid>
        <w:gridCol w:w="3652"/>
        <w:gridCol w:w="3402"/>
        <w:gridCol w:w="7373"/>
      </w:tblGrid>
      <w:tr w:rsidR="00EB2907" w:rsidRPr="00EB2907" w:rsidTr="00EB2907">
        <w:tc>
          <w:tcPr>
            <w:tcW w:w="7054" w:type="dxa"/>
            <w:gridSpan w:val="2"/>
            <w:shd w:val="clear" w:color="auto" w:fill="D9D9D9" w:themeFill="background1" w:themeFillShade="D9"/>
          </w:tcPr>
          <w:p w:rsidR="00EB2907" w:rsidRPr="00EB2907" w:rsidRDefault="00EB2907">
            <w:pPr>
              <w:rPr>
                <w:b/>
                <w:sz w:val="20"/>
                <w:szCs w:val="20"/>
              </w:rPr>
            </w:pPr>
            <w:r w:rsidRPr="00EB2907">
              <w:rPr>
                <w:b/>
                <w:sz w:val="20"/>
                <w:szCs w:val="20"/>
              </w:rPr>
              <w:t>Wahlaufgaben</w:t>
            </w:r>
          </w:p>
        </w:tc>
        <w:tc>
          <w:tcPr>
            <w:tcW w:w="7373" w:type="dxa"/>
            <w:vMerge w:val="restart"/>
            <w:vAlign w:val="center"/>
          </w:tcPr>
          <w:p w:rsidR="00EB2907" w:rsidRPr="00EB2907" w:rsidRDefault="00EB2907" w:rsidP="00EB2907">
            <w:pPr>
              <w:pStyle w:val="Listenabsatz"/>
              <w:numPr>
                <w:ilvl w:val="0"/>
                <w:numId w:val="2"/>
              </w:numPr>
              <w:ind w:left="317" w:hanging="283"/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Zusammenstellungen verschiedener Aufgaben zum gleichen Thema / Fragestellung / "Kernfrage" (von der Groeben)</w:t>
            </w:r>
          </w:p>
          <w:p w:rsidR="00EB2907" w:rsidRDefault="00EB2907" w:rsidP="00EB2907">
            <w:pPr>
              <w:pStyle w:val="Listenabsatz"/>
              <w:numPr>
                <w:ilvl w:val="0"/>
                <w:numId w:val="2"/>
              </w:numPr>
              <w:ind w:left="3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</w:t>
            </w:r>
            <w:r w:rsidRPr="00EB2907">
              <w:rPr>
                <w:sz w:val="20"/>
                <w:szCs w:val="20"/>
              </w:rPr>
              <w:t xml:space="preserve"> unterschiedliche Lernwege</w:t>
            </w:r>
          </w:p>
          <w:p w:rsidR="00EB2907" w:rsidRPr="00EB2907" w:rsidRDefault="00EB2907" w:rsidP="00EB2907">
            <w:pPr>
              <w:pStyle w:val="Listenabsatz"/>
              <w:numPr>
                <w:ilvl w:val="0"/>
                <w:numId w:val="2"/>
              </w:numPr>
              <w:ind w:left="317" w:hanging="283"/>
              <w:rPr>
                <w:sz w:val="20"/>
                <w:szCs w:val="20"/>
              </w:rPr>
            </w:pPr>
            <w:proofErr w:type="spellStart"/>
            <w:r w:rsidRPr="00EB2907">
              <w:rPr>
                <w:sz w:val="20"/>
                <w:szCs w:val="20"/>
              </w:rPr>
              <w:t>SuS</w:t>
            </w:r>
            <w:proofErr w:type="spellEnd"/>
            <w:r w:rsidRPr="00EB2907">
              <w:rPr>
                <w:sz w:val="20"/>
                <w:szCs w:val="20"/>
              </w:rPr>
              <w:t xml:space="preserve"> wählen die Aufgaben frei</w:t>
            </w:r>
          </w:p>
        </w:tc>
      </w:tr>
      <w:tr w:rsidR="00EB2907" w:rsidRPr="00EB2907" w:rsidTr="00EB2907">
        <w:tc>
          <w:tcPr>
            <w:tcW w:w="3652" w:type="dxa"/>
          </w:tcPr>
          <w:p w:rsidR="00EB2907" w:rsidRPr="00EB2907" w:rsidRDefault="00EB290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Fächeraufgaben</w:t>
            </w:r>
          </w:p>
        </w:tc>
        <w:tc>
          <w:tcPr>
            <w:tcW w:w="3402" w:type="dxa"/>
          </w:tcPr>
          <w:p w:rsidR="00EB2907" w:rsidRPr="00EB2907" w:rsidRDefault="00EB290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von der Groeben/Kaiser (</w:t>
            </w:r>
            <w:r w:rsidRPr="00EB2907">
              <w:rPr>
                <w:sz w:val="20"/>
                <w:szCs w:val="20"/>
                <w:vertAlign w:val="superscript"/>
              </w:rPr>
              <w:t>2</w:t>
            </w:r>
            <w:r w:rsidRPr="00EB2907">
              <w:rPr>
                <w:sz w:val="20"/>
                <w:szCs w:val="20"/>
              </w:rPr>
              <w:t>2013)</w:t>
            </w:r>
          </w:p>
          <w:p w:rsidR="00EB2907" w:rsidRPr="00EB2907" w:rsidRDefault="00EB290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von der Groeben (2013)</w:t>
            </w:r>
          </w:p>
        </w:tc>
        <w:tc>
          <w:tcPr>
            <w:tcW w:w="7373" w:type="dxa"/>
            <w:vMerge/>
            <w:vAlign w:val="center"/>
          </w:tcPr>
          <w:p w:rsidR="00EB2907" w:rsidRPr="00EB2907" w:rsidRDefault="00EB2907" w:rsidP="00EB2907">
            <w:pPr>
              <w:rPr>
                <w:sz w:val="20"/>
                <w:szCs w:val="20"/>
              </w:rPr>
            </w:pPr>
          </w:p>
        </w:tc>
      </w:tr>
      <w:tr w:rsidR="00EB2907" w:rsidRPr="00EB2907" w:rsidTr="00EB2907">
        <w:tc>
          <w:tcPr>
            <w:tcW w:w="3652" w:type="dxa"/>
          </w:tcPr>
          <w:p w:rsidR="00EB2907" w:rsidRPr="00EB2907" w:rsidRDefault="00EB290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Du-kannst-Aufgabe</w:t>
            </w:r>
          </w:p>
        </w:tc>
        <w:tc>
          <w:tcPr>
            <w:tcW w:w="3402" w:type="dxa"/>
          </w:tcPr>
          <w:p w:rsidR="00EB2907" w:rsidRPr="00EB2907" w:rsidRDefault="00EB290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Goebel (2012)</w:t>
            </w:r>
          </w:p>
        </w:tc>
        <w:tc>
          <w:tcPr>
            <w:tcW w:w="7373" w:type="dxa"/>
            <w:vMerge/>
            <w:vAlign w:val="center"/>
          </w:tcPr>
          <w:p w:rsidR="00EB2907" w:rsidRPr="00EB2907" w:rsidRDefault="00EB2907" w:rsidP="00EB2907">
            <w:pPr>
              <w:rPr>
                <w:sz w:val="20"/>
                <w:szCs w:val="20"/>
              </w:rPr>
            </w:pPr>
          </w:p>
        </w:tc>
      </w:tr>
      <w:tr w:rsidR="00EB2907" w:rsidRPr="00EB2907" w:rsidTr="00EB2907">
        <w:tc>
          <w:tcPr>
            <w:tcW w:w="3652" w:type="dxa"/>
          </w:tcPr>
          <w:p w:rsidR="00EB2907" w:rsidRPr="00EB2907" w:rsidRDefault="007711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Bearbeitungsdifferen</w:t>
            </w:r>
            <w:r w:rsidR="00EB2907" w:rsidRPr="00EB2907">
              <w:rPr>
                <w:sz w:val="20"/>
                <w:szCs w:val="20"/>
              </w:rPr>
              <w:t>zierung</w:t>
            </w:r>
          </w:p>
        </w:tc>
        <w:tc>
          <w:tcPr>
            <w:tcW w:w="3402" w:type="dxa"/>
          </w:tcPr>
          <w:p w:rsidR="00EB2907" w:rsidRPr="00EB2907" w:rsidRDefault="00EB2907">
            <w:pPr>
              <w:rPr>
                <w:sz w:val="20"/>
                <w:szCs w:val="20"/>
              </w:rPr>
            </w:pPr>
            <w:proofErr w:type="spellStart"/>
            <w:r w:rsidRPr="00EB2907">
              <w:rPr>
                <w:sz w:val="20"/>
                <w:szCs w:val="20"/>
              </w:rPr>
              <w:t>Bönsch</w:t>
            </w:r>
            <w:proofErr w:type="spellEnd"/>
            <w:r w:rsidRPr="00EB2907">
              <w:rPr>
                <w:sz w:val="20"/>
                <w:szCs w:val="20"/>
              </w:rPr>
              <w:t xml:space="preserve"> (2011)</w:t>
            </w:r>
          </w:p>
        </w:tc>
        <w:tc>
          <w:tcPr>
            <w:tcW w:w="7373" w:type="dxa"/>
            <w:vMerge/>
            <w:vAlign w:val="center"/>
          </w:tcPr>
          <w:p w:rsidR="00EB2907" w:rsidRPr="00EB2907" w:rsidRDefault="00EB2907" w:rsidP="00EB2907">
            <w:pPr>
              <w:rPr>
                <w:sz w:val="20"/>
                <w:szCs w:val="20"/>
              </w:rPr>
            </w:pPr>
          </w:p>
        </w:tc>
      </w:tr>
      <w:tr w:rsidR="00EB2907" w:rsidRPr="00EB2907" w:rsidTr="00EB2907">
        <w:tc>
          <w:tcPr>
            <w:tcW w:w="3652" w:type="dxa"/>
          </w:tcPr>
          <w:p w:rsidR="00EB2907" w:rsidRPr="00EB2907" w:rsidRDefault="00EB2907" w:rsidP="007F1959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Wahl- / Selbstdifferenzierung (zusätzlich Wahl der Aufgabenmenge)</w:t>
            </w:r>
          </w:p>
        </w:tc>
        <w:tc>
          <w:tcPr>
            <w:tcW w:w="3402" w:type="dxa"/>
          </w:tcPr>
          <w:p w:rsidR="00EB2907" w:rsidRPr="00EB2907" w:rsidRDefault="00EB2907" w:rsidP="00653A98">
            <w:pPr>
              <w:rPr>
                <w:sz w:val="20"/>
                <w:szCs w:val="20"/>
              </w:rPr>
            </w:pPr>
            <w:proofErr w:type="spellStart"/>
            <w:r w:rsidRPr="00EB2907">
              <w:rPr>
                <w:sz w:val="20"/>
                <w:szCs w:val="20"/>
              </w:rPr>
              <w:t>Bönsch</w:t>
            </w:r>
            <w:proofErr w:type="spellEnd"/>
            <w:r w:rsidRPr="00EB2907">
              <w:rPr>
                <w:sz w:val="20"/>
                <w:szCs w:val="20"/>
              </w:rPr>
              <w:t xml:space="preserve"> (2011)</w:t>
            </w:r>
          </w:p>
        </w:tc>
        <w:tc>
          <w:tcPr>
            <w:tcW w:w="7373" w:type="dxa"/>
            <w:vMerge/>
            <w:vAlign w:val="center"/>
          </w:tcPr>
          <w:p w:rsidR="00EB2907" w:rsidRPr="00EB2907" w:rsidRDefault="00EB2907" w:rsidP="00EB2907">
            <w:pPr>
              <w:rPr>
                <w:sz w:val="20"/>
                <w:szCs w:val="20"/>
              </w:rPr>
            </w:pPr>
          </w:p>
        </w:tc>
      </w:tr>
      <w:tr w:rsidR="00EB2907" w:rsidRPr="00EB2907" w:rsidTr="00EB2907">
        <w:tc>
          <w:tcPr>
            <w:tcW w:w="7054" w:type="dxa"/>
            <w:gridSpan w:val="2"/>
            <w:shd w:val="clear" w:color="auto" w:fill="D9D9D9" w:themeFill="background1" w:themeFillShade="D9"/>
          </w:tcPr>
          <w:p w:rsidR="00EB2907" w:rsidRPr="00EB2907" w:rsidRDefault="00EB2907">
            <w:pPr>
              <w:rPr>
                <w:b/>
                <w:sz w:val="20"/>
                <w:szCs w:val="20"/>
              </w:rPr>
            </w:pPr>
            <w:proofErr w:type="spellStart"/>
            <w:r w:rsidRPr="00EB2907">
              <w:rPr>
                <w:b/>
                <w:sz w:val="20"/>
                <w:szCs w:val="20"/>
              </w:rPr>
              <w:t>Fundamentum</w:t>
            </w:r>
            <w:proofErr w:type="spellEnd"/>
            <w:r w:rsidRPr="00EB2907">
              <w:rPr>
                <w:b/>
                <w:sz w:val="20"/>
                <w:szCs w:val="20"/>
              </w:rPr>
              <w:t xml:space="preserve"> - </w:t>
            </w:r>
            <w:proofErr w:type="spellStart"/>
            <w:r w:rsidRPr="00EB2907">
              <w:rPr>
                <w:b/>
                <w:sz w:val="20"/>
                <w:szCs w:val="20"/>
              </w:rPr>
              <w:t>Additum</w:t>
            </w:r>
            <w:proofErr w:type="spellEnd"/>
          </w:p>
        </w:tc>
        <w:tc>
          <w:tcPr>
            <w:tcW w:w="7373" w:type="dxa"/>
            <w:vMerge w:val="restart"/>
            <w:vAlign w:val="center"/>
          </w:tcPr>
          <w:p w:rsidR="00EB2907" w:rsidRDefault="00EB2907" w:rsidP="00EB2907">
            <w:pPr>
              <w:pStyle w:val="Listenabsatz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 xml:space="preserve">Die Aufgaben des </w:t>
            </w:r>
            <w:proofErr w:type="spellStart"/>
            <w:r w:rsidRPr="00EB2907">
              <w:rPr>
                <w:sz w:val="20"/>
                <w:szCs w:val="20"/>
              </w:rPr>
              <w:t>Fundamentums</w:t>
            </w:r>
            <w:proofErr w:type="spellEnd"/>
            <w:r w:rsidRPr="00EB2907">
              <w:rPr>
                <w:sz w:val="20"/>
                <w:szCs w:val="20"/>
              </w:rPr>
              <w:t xml:space="preserve"> sichern ein gemeinsames Basiswissen für die Lerngruppe. </w:t>
            </w:r>
          </w:p>
          <w:p w:rsidR="00EB2907" w:rsidRDefault="00EB2907" w:rsidP="00EB2907">
            <w:pPr>
              <w:pStyle w:val="Listenabsatz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 xml:space="preserve">Im </w:t>
            </w:r>
            <w:proofErr w:type="spellStart"/>
            <w:r w:rsidRPr="00EB2907">
              <w:rPr>
                <w:sz w:val="20"/>
                <w:szCs w:val="20"/>
              </w:rPr>
              <w:t>Additum</w:t>
            </w:r>
            <w:proofErr w:type="spellEnd"/>
            <w:r w:rsidRPr="00EB2907">
              <w:rPr>
                <w:sz w:val="20"/>
                <w:szCs w:val="20"/>
              </w:rPr>
              <w:t xml:space="preserve"> werden </w:t>
            </w:r>
            <w:proofErr w:type="spellStart"/>
            <w:r w:rsidRPr="00EB2907">
              <w:rPr>
                <w:sz w:val="20"/>
                <w:szCs w:val="20"/>
              </w:rPr>
              <w:t>themen</w:t>
            </w:r>
            <w:proofErr w:type="spellEnd"/>
            <w:r>
              <w:rPr>
                <w:sz w:val="20"/>
                <w:szCs w:val="20"/>
              </w:rPr>
              <w:t>-,</w:t>
            </w:r>
            <w:r w:rsidRPr="00EB2907">
              <w:rPr>
                <w:sz w:val="20"/>
                <w:szCs w:val="20"/>
              </w:rPr>
              <w:t xml:space="preserve"> </w:t>
            </w:r>
            <w:proofErr w:type="spellStart"/>
            <w:r w:rsidRPr="00EB2907">
              <w:rPr>
                <w:sz w:val="20"/>
                <w:szCs w:val="20"/>
              </w:rPr>
              <w:t>niveau</w:t>
            </w:r>
            <w:proofErr w:type="spellEnd"/>
            <w:r>
              <w:rPr>
                <w:sz w:val="20"/>
                <w:szCs w:val="20"/>
              </w:rPr>
              <w:t>- oder lernwegs</w:t>
            </w:r>
            <w:r w:rsidRPr="00EB2907">
              <w:rPr>
                <w:sz w:val="20"/>
                <w:szCs w:val="20"/>
              </w:rPr>
              <w:t xml:space="preserve">differente Aufgaben angeboten. </w:t>
            </w:r>
          </w:p>
          <w:p w:rsidR="00EB2907" w:rsidRPr="00EB2907" w:rsidRDefault="00EB2907" w:rsidP="00EB2907">
            <w:pPr>
              <w:pStyle w:val="Listenabsatz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 xml:space="preserve">Je nach Lerntempo können mehr oder weniger Aufgaben des </w:t>
            </w:r>
            <w:proofErr w:type="spellStart"/>
            <w:r w:rsidRPr="00EB2907">
              <w:rPr>
                <w:sz w:val="20"/>
                <w:szCs w:val="20"/>
              </w:rPr>
              <w:t>Additums</w:t>
            </w:r>
            <w:proofErr w:type="spellEnd"/>
            <w:r w:rsidRPr="00EB2907">
              <w:rPr>
                <w:sz w:val="20"/>
                <w:szCs w:val="20"/>
              </w:rPr>
              <w:t xml:space="preserve"> bearbeitet werden.</w:t>
            </w:r>
          </w:p>
        </w:tc>
      </w:tr>
      <w:tr w:rsidR="00EB2907" w:rsidRPr="00EB2907" w:rsidTr="00EB2907">
        <w:tc>
          <w:tcPr>
            <w:tcW w:w="3652" w:type="dxa"/>
          </w:tcPr>
          <w:p w:rsidR="00EB2907" w:rsidRPr="00EB2907" w:rsidRDefault="00EB290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Blütenaufgaben (niveaudifferent)</w:t>
            </w:r>
          </w:p>
        </w:tc>
        <w:tc>
          <w:tcPr>
            <w:tcW w:w="3402" w:type="dxa"/>
          </w:tcPr>
          <w:p w:rsidR="00EB2907" w:rsidRPr="00EB2907" w:rsidRDefault="00EB2907" w:rsidP="00E97E8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von der Groeben/Kaiser (</w:t>
            </w:r>
            <w:r w:rsidRPr="00EB2907">
              <w:rPr>
                <w:sz w:val="20"/>
                <w:szCs w:val="20"/>
                <w:vertAlign w:val="superscript"/>
              </w:rPr>
              <w:t>2</w:t>
            </w:r>
            <w:r w:rsidRPr="00EB2907">
              <w:rPr>
                <w:sz w:val="20"/>
                <w:szCs w:val="20"/>
              </w:rPr>
              <w:t>2013)</w:t>
            </w:r>
          </w:p>
          <w:p w:rsidR="00EB2907" w:rsidRPr="00EB2907" w:rsidRDefault="00EB2907" w:rsidP="00E97E8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von der Groeben (2013)</w:t>
            </w:r>
          </w:p>
        </w:tc>
        <w:tc>
          <w:tcPr>
            <w:tcW w:w="7373" w:type="dxa"/>
            <w:vMerge/>
          </w:tcPr>
          <w:p w:rsidR="00EB2907" w:rsidRPr="00EB2907" w:rsidRDefault="00EB2907">
            <w:pPr>
              <w:rPr>
                <w:sz w:val="20"/>
                <w:szCs w:val="20"/>
              </w:rPr>
            </w:pPr>
          </w:p>
        </w:tc>
      </w:tr>
      <w:tr w:rsidR="00EB2907" w:rsidRPr="00EB2907" w:rsidTr="00EB2907">
        <w:tc>
          <w:tcPr>
            <w:tcW w:w="3652" w:type="dxa"/>
          </w:tcPr>
          <w:p w:rsidR="00EB2907" w:rsidRPr="00EB2907" w:rsidRDefault="00EB2907" w:rsidP="00653A98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Zieldifferente Differenzierung</w:t>
            </w:r>
          </w:p>
          <w:p w:rsidR="00EB2907" w:rsidRPr="00EB2907" w:rsidRDefault="00EB2907" w:rsidP="00653A98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(niveaudifferent)</w:t>
            </w:r>
          </w:p>
        </w:tc>
        <w:tc>
          <w:tcPr>
            <w:tcW w:w="3402" w:type="dxa"/>
          </w:tcPr>
          <w:p w:rsidR="00EB2907" w:rsidRPr="00EB2907" w:rsidRDefault="00EB2907" w:rsidP="00653A98">
            <w:pPr>
              <w:rPr>
                <w:sz w:val="20"/>
                <w:szCs w:val="20"/>
              </w:rPr>
            </w:pPr>
            <w:proofErr w:type="spellStart"/>
            <w:r w:rsidRPr="00EB2907">
              <w:rPr>
                <w:sz w:val="20"/>
                <w:szCs w:val="20"/>
              </w:rPr>
              <w:t>Bönsch</w:t>
            </w:r>
            <w:proofErr w:type="spellEnd"/>
            <w:r w:rsidRPr="00EB2907">
              <w:rPr>
                <w:sz w:val="20"/>
                <w:szCs w:val="20"/>
              </w:rPr>
              <w:t xml:space="preserve"> (2011)</w:t>
            </w:r>
          </w:p>
        </w:tc>
        <w:tc>
          <w:tcPr>
            <w:tcW w:w="7373" w:type="dxa"/>
            <w:vMerge/>
          </w:tcPr>
          <w:p w:rsidR="00EB2907" w:rsidRPr="00EB2907" w:rsidRDefault="00EB2907" w:rsidP="00653A98">
            <w:pPr>
              <w:rPr>
                <w:sz w:val="20"/>
                <w:szCs w:val="20"/>
              </w:rPr>
            </w:pPr>
          </w:p>
        </w:tc>
      </w:tr>
      <w:tr w:rsidR="00EB2907" w:rsidRPr="00EB2907" w:rsidTr="00EB2907">
        <w:tc>
          <w:tcPr>
            <w:tcW w:w="3652" w:type="dxa"/>
          </w:tcPr>
          <w:p w:rsidR="00EB2907" w:rsidRPr="00EB2907" w:rsidRDefault="00EB290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Sternchenaufgaben (niveaudifferent)</w:t>
            </w:r>
          </w:p>
        </w:tc>
        <w:tc>
          <w:tcPr>
            <w:tcW w:w="3402" w:type="dxa"/>
            <w:vMerge w:val="restart"/>
          </w:tcPr>
          <w:p w:rsidR="00EB2907" w:rsidRPr="00EB2907" w:rsidRDefault="00EB2907" w:rsidP="00E97E8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Goebel (2012)</w:t>
            </w:r>
          </w:p>
        </w:tc>
        <w:tc>
          <w:tcPr>
            <w:tcW w:w="7373" w:type="dxa"/>
            <w:vMerge/>
          </w:tcPr>
          <w:p w:rsidR="00EB2907" w:rsidRPr="00EB2907" w:rsidRDefault="00EB2907">
            <w:pPr>
              <w:rPr>
                <w:sz w:val="20"/>
                <w:szCs w:val="20"/>
              </w:rPr>
            </w:pPr>
          </w:p>
        </w:tc>
      </w:tr>
      <w:tr w:rsidR="00EB2907" w:rsidRPr="00EB2907" w:rsidTr="00EB2907">
        <w:tc>
          <w:tcPr>
            <w:tcW w:w="3652" w:type="dxa"/>
          </w:tcPr>
          <w:p w:rsidR="00EB2907" w:rsidRPr="00EB2907" w:rsidRDefault="00EB2907" w:rsidP="00AA0FE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Basis- und Expertenaufgaben (themendifferent)</w:t>
            </w:r>
          </w:p>
        </w:tc>
        <w:tc>
          <w:tcPr>
            <w:tcW w:w="3402" w:type="dxa"/>
            <w:vMerge/>
          </w:tcPr>
          <w:p w:rsidR="00EB2907" w:rsidRPr="00EB2907" w:rsidRDefault="00EB2907" w:rsidP="00E97E87">
            <w:pPr>
              <w:rPr>
                <w:sz w:val="20"/>
                <w:szCs w:val="20"/>
              </w:rPr>
            </w:pPr>
          </w:p>
        </w:tc>
        <w:tc>
          <w:tcPr>
            <w:tcW w:w="7373" w:type="dxa"/>
            <w:vMerge/>
          </w:tcPr>
          <w:p w:rsidR="00EB2907" w:rsidRPr="00EB2907" w:rsidRDefault="00EB2907">
            <w:pPr>
              <w:rPr>
                <w:sz w:val="20"/>
                <w:szCs w:val="20"/>
              </w:rPr>
            </w:pPr>
          </w:p>
        </w:tc>
      </w:tr>
      <w:tr w:rsidR="00EB2907" w:rsidRPr="00EB2907" w:rsidTr="00EB2907">
        <w:tc>
          <w:tcPr>
            <w:tcW w:w="3652" w:type="dxa"/>
          </w:tcPr>
          <w:p w:rsidR="00EB2907" w:rsidRPr="00EB2907" w:rsidRDefault="00EB290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Pflicht- und Wahlaufgaben (Mischung aus tempodifferent und reinen Wahlaufgaben s.o.)</w:t>
            </w:r>
          </w:p>
        </w:tc>
        <w:tc>
          <w:tcPr>
            <w:tcW w:w="3402" w:type="dxa"/>
          </w:tcPr>
          <w:p w:rsidR="00EB2907" w:rsidRPr="00EB2907" w:rsidRDefault="00EB2907" w:rsidP="00E97E87">
            <w:pPr>
              <w:rPr>
                <w:sz w:val="20"/>
                <w:szCs w:val="20"/>
              </w:rPr>
            </w:pPr>
            <w:proofErr w:type="spellStart"/>
            <w:r w:rsidRPr="00EB2907">
              <w:rPr>
                <w:sz w:val="20"/>
                <w:szCs w:val="20"/>
              </w:rPr>
              <w:t>Kühberger</w:t>
            </w:r>
            <w:proofErr w:type="spellEnd"/>
            <w:r w:rsidRPr="00EB2907">
              <w:rPr>
                <w:sz w:val="20"/>
                <w:szCs w:val="20"/>
              </w:rPr>
              <w:t>/</w:t>
            </w:r>
            <w:proofErr w:type="spellStart"/>
            <w:r w:rsidRPr="00EB2907">
              <w:rPr>
                <w:sz w:val="20"/>
                <w:szCs w:val="20"/>
              </w:rPr>
              <w:t>Windischbauer</w:t>
            </w:r>
            <w:proofErr w:type="spellEnd"/>
            <w:r w:rsidRPr="00EB2907">
              <w:rPr>
                <w:sz w:val="20"/>
                <w:szCs w:val="20"/>
              </w:rPr>
              <w:t xml:space="preserve"> (2012)</w:t>
            </w:r>
          </w:p>
        </w:tc>
        <w:tc>
          <w:tcPr>
            <w:tcW w:w="7373" w:type="dxa"/>
            <w:vMerge/>
          </w:tcPr>
          <w:p w:rsidR="00EB2907" w:rsidRPr="00EB2907" w:rsidRDefault="00EB2907">
            <w:pPr>
              <w:rPr>
                <w:sz w:val="20"/>
                <w:szCs w:val="20"/>
              </w:rPr>
            </w:pPr>
          </w:p>
        </w:tc>
      </w:tr>
      <w:tr w:rsidR="00EB2907" w:rsidRPr="00EB2907" w:rsidTr="00EB2907">
        <w:tc>
          <w:tcPr>
            <w:tcW w:w="7054" w:type="dxa"/>
            <w:gridSpan w:val="2"/>
            <w:shd w:val="clear" w:color="auto" w:fill="D9D9D9" w:themeFill="background1" w:themeFillShade="D9"/>
          </w:tcPr>
          <w:p w:rsidR="00EB2907" w:rsidRPr="00EB2907" w:rsidRDefault="00EB2907" w:rsidP="00653A98">
            <w:pPr>
              <w:rPr>
                <w:b/>
                <w:sz w:val="20"/>
                <w:szCs w:val="20"/>
              </w:rPr>
            </w:pPr>
            <w:r w:rsidRPr="00EB2907">
              <w:rPr>
                <w:b/>
                <w:sz w:val="20"/>
                <w:szCs w:val="20"/>
              </w:rPr>
              <w:t>Hilfestellungen</w:t>
            </w:r>
          </w:p>
        </w:tc>
        <w:tc>
          <w:tcPr>
            <w:tcW w:w="7373" w:type="dxa"/>
            <w:vMerge w:val="restart"/>
          </w:tcPr>
          <w:p w:rsidR="00EB2907" w:rsidRPr="00EB2907" w:rsidRDefault="00EB2907" w:rsidP="00653A98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Bereitstellung von Hilfsangeboten für den Bedarfsfall.</w:t>
            </w:r>
          </w:p>
          <w:p w:rsidR="00EB2907" w:rsidRPr="00EB2907" w:rsidRDefault="00EB2907" w:rsidP="00855BA4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 xml:space="preserve">Die Hilfsangebote können sich beziehen auf: </w:t>
            </w:r>
          </w:p>
          <w:p w:rsidR="00EB2907" w:rsidRPr="00EB2907" w:rsidRDefault="00EB2907" w:rsidP="00855BA4">
            <w:pPr>
              <w:pStyle w:val="Listenabsatz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inhaltliche Unterstützung (Verstehen der Aufgabenstellung, Verknüpfung mit Vorwissen, Sequenzierung der inhaltlichen Erarbeitung)</w:t>
            </w:r>
          </w:p>
          <w:p w:rsidR="00EB2907" w:rsidRPr="00EB2907" w:rsidRDefault="00EB2907" w:rsidP="00855BA4">
            <w:pPr>
              <w:pStyle w:val="Listenabsatz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Arbeitstechniken, Umgang mit Materialien</w:t>
            </w:r>
          </w:p>
          <w:p w:rsidR="00EB2907" w:rsidRPr="00EB2907" w:rsidRDefault="00EB2907" w:rsidP="00855BA4">
            <w:pPr>
              <w:pStyle w:val="Listenabsatz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Formen der Ergebniserstellung</w:t>
            </w:r>
          </w:p>
          <w:p w:rsidR="00EB2907" w:rsidRPr="00EB2907" w:rsidRDefault="00EB2907" w:rsidP="00855BA4">
            <w:pPr>
              <w:pStyle w:val="Listenabsatz"/>
              <w:numPr>
                <w:ilvl w:val="0"/>
                <w:numId w:val="1"/>
              </w:numPr>
              <w:ind w:left="317" w:hanging="284"/>
              <w:rPr>
                <w:b/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Sozialformen</w:t>
            </w:r>
          </w:p>
        </w:tc>
      </w:tr>
      <w:tr w:rsidR="00EB2907" w:rsidRPr="00EB2907" w:rsidTr="00EB2907">
        <w:tc>
          <w:tcPr>
            <w:tcW w:w="3652" w:type="dxa"/>
          </w:tcPr>
          <w:p w:rsidR="00EB2907" w:rsidRPr="00EB2907" w:rsidRDefault="00EB2907" w:rsidP="00653A98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 xml:space="preserve">Gerüst / </w:t>
            </w:r>
            <w:proofErr w:type="spellStart"/>
            <w:r w:rsidRPr="00EB2907">
              <w:rPr>
                <w:sz w:val="20"/>
                <w:szCs w:val="20"/>
              </w:rPr>
              <w:t>Scaffolding</w:t>
            </w:r>
            <w:proofErr w:type="spellEnd"/>
          </w:p>
        </w:tc>
        <w:tc>
          <w:tcPr>
            <w:tcW w:w="3402" w:type="dxa"/>
          </w:tcPr>
          <w:p w:rsidR="00EB2907" w:rsidRPr="00EB2907" w:rsidRDefault="00EB2907" w:rsidP="00653A98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von der Groeben/Kaiser (</w:t>
            </w:r>
            <w:r w:rsidRPr="00EB2907">
              <w:rPr>
                <w:sz w:val="20"/>
                <w:szCs w:val="20"/>
                <w:vertAlign w:val="superscript"/>
              </w:rPr>
              <w:t>2</w:t>
            </w:r>
            <w:r w:rsidRPr="00EB2907">
              <w:rPr>
                <w:sz w:val="20"/>
                <w:szCs w:val="20"/>
              </w:rPr>
              <w:t>2013)</w:t>
            </w:r>
          </w:p>
          <w:p w:rsidR="00EB2907" w:rsidRPr="00EB2907" w:rsidRDefault="00EB2907" w:rsidP="00653A98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von der Groeben (2013)</w:t>
            </w:r>
          </w:p>
        </w:tc>
        <w:tc>
          <w:tcPr>
            <w:tcW w:w="7373" w:type="dxa"/>
            <w:vMerge/>
          </w:tcPr>
          <w:p w:rsidR="00EB2907" w:rsidRPr="00EB2907" w:rsidRDefault="00EB2907" w:rsidP="00855BA4">
            <w:pPr>
              <w:pStyle w:val="Listenabsatz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</w:p>
        </w:tc>
      </w:tr>
      <w:tr w:rsidR="00EB2907" w:rsidRPr="00EB2907" w:rsidTr="00EB2907">
        <w:tc>
          <w:tcPr>
            <w:tcW w:w="3652" w:type="dxa"/>
          </w:tcPr>
          <w:p w:rsidR="00EB2907" w:rsidRPr="00EB2907" w:rsidRDefault="00EB290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Gestufte Lernhilfen</w:t>
            </w:r>
          </w:p>
        </w:tc>
        <w:tc>
          <w:tcPr>
            <w:tcW w:w="3402" w:type="dxa"/>
          </w:tcPr>
          <w:p w:rsidR="00EB2907" w:rsidRPr="00EB2907" w:rsidRDefault="00EB2907" w:rsidP="00E97E8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Boller/Lau (2010)</w:t>
            </w:r>
          </w:p>
        </w:tc>
        <w:tc>
          <w:tcPr>
            <w:tcW w:w="7373" w:type="dxa"/>
            <w:vMerge/>
          </w:tcPr>
          <w:p w:rsidR="00EB2907" w:rsidRPr="00EB2907" w:rsidRDefault="00EB2907">
            <w:pPr>
              <w:rPr>
                <w:sz w:val="20"/>
                <w:szCs w:val="20"/>
              </w:rPr>
            </w:pPr>
          </w:p>
        </w:tc>
      </w:tr>
      <w:tr w:rsidR="00EB2907" w:rsidRPr="00EB2907" w:rsidTr="00EB2907">
        <w:tc>
          <w:tcPr>
            <w:tcW w:w="7054" w:type="dxa"/>
            <w:gridSpan w:val="2"/>
            <w:shd w:val="clear" w:color="auto" w:fill="D9D9D9" w:themeFill="background1" w:themeFillShade="D9"/>
          </w:tcPr>
          <w:p w:rsidR="00EB2907" w:rsidRPr="00EB2907" w:rsidRDefault="00EB2907" w:rsidP="00E97E87">
            <w:pPr>
              <w:rPr>
                <w:sz w:val="20"/>
                <w:szCs w:val="20"/>
              </w:rPr>
            </w:pPr>
            <w:r w:rsidRPr="00EB2907">
              <w:rPr>
                <w:b/>
                <w:sz w:val="20"/>
                <w:szCs w:val="20"/>
              </w:rPr>
              <w:t>Reziprokes Lernen</w:t>
            </w:r>
          </w:p>
        </w:tc>
        <w:tc>
          <w:tcPr>
            <w:tcW w:w="7373" w:type="dxa"/>
          </w:tcPr>
          <w:p w:rsidR="00EB2907" w:rsidRPr="00EB2907" w:rsidRDefault="00EB2907">
            <w:pPr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In Partnerarbeit wechselseitig verschiedene Lernstrategien in Bezug auf den gleichen Lerngegenstand anwenden, dann Austausch der Ergebnisse. Die unterschiedlichen Aufgabenstellungen können sich beziehen auf</w:t>
            </w:r>
          </w:p>
          <w:p w:rsidR="00EB2907" w:rsidRPr="00EB2907" w:rsidRDefault="00EB2907" w:rsidP="00D51DFB">
            <w:pPr>
              <w:pStyle w:val="Listenabsatz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Methoden (Aufteilung von Arbeitsschritten, unterschiedliche Auswertungs- und Interpretationsstrategien, unterschiedliche Lernwege…)</w:t>
            </w:r>
          </w:p>
          <w:p w:rsidR="00EB2907" w:rsidRPr="007711C5" w:rsidRDefault="00EB2907" w:rsidP="007711C5">
            <w:pPr>
              <w:pStyle w:val="Listenabsatz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EB2907">
              <w:rPr>
                <w:sz w:val="20"/>
                <w:szCs w:val="20"/>
              </w:rPr>
              <w:t>Rollen (Erklärender - Fragender, Schreibender - Korrigierender…)</w:t>
            </w:r>
          </w:p>
        </w:tc>
      </w:tr>
    </w:tbl>
    <w:p w:rsidR="00E97E87" w:rsidRPr="00EB2907" w:rsidRDefault="00E97E87">
      <w:pPr>
        <w:rPr>
          <w:sz w:val="20"/>
          <w:szCs w:val="20"/>
        </w:rPr>
      </w:pPr>
    </w:p>
    <w:sectPr w:rsidR="00E97E87" w:rsidRPr="00EB2907" w:rsidSect="00E97E87">
      <w:head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714" w:rsidRDefault="00543714" w:rsidP="004E5384">
      <w:r>
        <w:separator/>
      </w:r>
    </w:p>
  </w:endnote>
  <w:endnote w:type="continuationSeparator" w:id="0">
    <w:p w:rsidR="00543714" w:rsidRDefault="00543714" w:rsidP="004E5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714" w:rsidRDefault="00543714" w:rsidP="004E5384">
      <w:r>
        <w:separator/>
      </w:r>
    </w:p>
  </w:footnote>
  <w:footnote w:type="continuationSeparator" w:id="0">
    <w:p w:rsidR="00543714" w:rsidRDefault="00543714" w:rsidP="004E53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384" w:rsidRDefault="004E5384" w:rsidP="004E5384">
    <w:pPr>
      <w:pStyle w:val="Kopfzeile"/>
      <w:tabs>
        <w:tab w:val="clear" w:pos="4536"/>
        <w:tab w:val="clear" w:pos="9072"/>
        <w:tab w:val="right" w:pos="14317"/>
      </w:tabs>
      <w:spacing w:after="120"/>
    </w:pPr>
    <w:r>
      <w:t>Akademie Bad Wildbad</w:t>
    </w:r>
    <w:r>
      <w:tab/>
      <w:t>16.-18.07.2014</w:t>
    </w:r>
  </w:p>
  <w:p w:rsidR="004E5384" w:rsidRDefault="004E5384" w:rsidP="004E5384">
    <w:pPr>
      <w:pStyle w:val="Kopfzeile"/>
    </w:pPr>
    <w:r>
      <w:t>Binnendifferenzierung und individuelles Lernen im Geschichtsunterricht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7080"/>
    <w:multiLevelType w:val="hybridMultilevel"/>
    <w:tmpl w:val="420A04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8C287E"/>
    <w:multiLevelType w:val="hybridMultilevel"/>
    <w:tmpl w:val="4566E5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BA4D97"/>
    <w:multiLevelType w:val="hybridMultilevel"/>
    <w:tmpl w:val="AC2C8A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7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E87"/>
    <w:rsid w:val="00070242"/>
    <w:rsid w:val="0007073D"/>
    <w:rsid w:val="000D080B"/>
    <w:rsid w:val="00150AF5"/>
    <w:rsid w:val="002B38C2"/>
    <w:rsid w:val="004E5384"/>
    <w:rsid w:val="00543714"/>
    <w:rsid w:val="00561B13"/>
    <w:rsid w:val="006F39CD"/>
    <w:rsid w:val="006F7E44"/>
    <w:rsid w:val="007711C5"/>
    <w:rsid w:val="007F1959"/>
    <w:rsid w:val="00855BA4"/>
    <w:rsid w:val="0094312F"/>
    <w:rsid w:val="00A06CD9"/>
    <w:rsid w:val="00AA0FE7"/>
    <w:rsid w:val="00D51DFB"/>
    <w:rsid w:val="00DA7809"/>
    <w:rsid w:val="00E97E87"/>
    <w:rsid w:val="00EB2907"/>
    <w:rsid w:val="00EF3EDB"/>
    <w:rsid w:val="00F35972"/>
    <w:rsid w:val="00F646EC"/>
    <w:rsid w:val="00F96FB3"/>
    <w:rsid w:val="00FF2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39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E97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55BA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53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5384"/>
  </w:style>
  <w:style w:type="paragraph" w:styleId="Fuzeile">
    <w:name w:val="footer"/>
    <w:basedOn w:val="Standard"/>
    <w:link w:val="FuzeileZchn"/>
    <w:uiPriority w:val="99"/>
    <w:semiHidden/>
    <w:unhideWhenUsed/>
    <w:rsid w:val="004E53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E538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538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53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Gerhild</dc:creator>
  <cp:lastModifiedBy>Gerhild</cp:lastModifiedBy>
  <cp:revision>6</cp:revision>
  <dcterms:created xsi:type="dcterms:W3CDTF">2014-07-13T11:37:00Z</dcterms:created>
  <dcterms:modified xsi:type="dcterms:W3CDTF">2014-10-20T07:40:00Z</dcterms:modified>
</cp:coreProperties>
</file>