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D6" w:rsidRPr="00D221ED" w:rsidRDefault="007A56D6" w:rsidP="007A56D6">
      <w:pPr>
        <w:spacing w:after="0" w:line="240" w:lineRule="auto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AB4E10" w:rsidRPr="00D221ED" w:rsidRDefault="00D221ED" w:rsidP="00D221E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Kontakte zwischen Rom und China</w:t>
      </w:r>
    </w:p>
    <w:p w:rsidR="007B644F" w:rsidRDefault="007B644F" w:rsidP="007A56D6">
      <w:pPr>
        <w:spacing w:after="0" w:line="240" w:lineRule="auto"/>
        <w:rPr>
          <w:rFonts w:asciiTheme="minorHAnsi" w:hAnsiTheme="minorHAnsi"/>
          <w:sz w:val="24"/>
          <w:szCs w:val="24"/>
        </w:rPr>
        <w:sectPr w:rsidR="007B644F">
          <w:headerReference w:type="default" r:id="rId9"/>
          <w:foot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B4E10" w:rsidRPr="00D221ED" w:rsidRDefault="00D221ED" w:rsidP="007A56D6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D221ED">
        <w:rPr>
          <w:rFonts w:asciiTheme="minorHAnsi" w:hAnsiTheme="minorHAnsi"/>
          <w:noProof/>
          <w:sz w:val="24"/>
          <w:szCs w:val="24"/>
          <w:lang w:eastAsia="de-DE"/>
        </w:rPr>
        <w:lastRenderedPageBreak/>
        <w:drawing>
          <wp:anchor distT="0" distB="0" distL="114300" distR="114300" simplePos="0" relativeHeight="251658240" behindDoc="1" locked="0" layoutInCell="1" allowOverlap="1" wp14:anchorId="03517AEE" wp14:editId="67E5A3A5">
            <wp:simplePos x="0" y="0"/>
            <wp:positionH relativeFrom="column">
              <wp:posOffset>3206750</wp:posOffset>
            </wp:positionH>
            <wp:positionV relativeFrom="paragraph">
              <wp:posOffset>80645</wp:posOffset>
            </wp:positionV>
            <wp:extent cx="2731770" cy="3629025"/>
            <wp:effectExtent l="0" t="0" r="0" b="9525"/>
            <wp:wrapTight wrapText="bothSides">
              <wp:wrapPolygon edited="0">
                <wp:start x="0" y="0"/>
                <wp:lineTo x="0" y="21543"/>
                <wp:lineTo x="21389" y="21543"/>
                <wp:lineTo x="21389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7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color w:val="000000"/>
          <w:sz w:val="24"/>
          <w:szCs w:val="24"/>
          <w:lang w:eastAsia="de-DE"/>
        </w:rPr>
      </w:pPr>
      <w:r>
        <w:rPr>
          <w:rFonts w:asciiTheme="minorHAnsi" w:hAnsiTheme="minorHAnsi" w:cs="TimesNewRomanPS-BoldMT"/>
          <w:b/>
          <w:bCs/>
          <w:color w:val="000000"/>
          <w:sz w:val="24"/>
          <w:szCs w:val="24"/>
          <w:lang w:eastAsia="de-DE"/>
        </w:rPr>
        <w:t xml:space="preserve">M1: </w:t>
      </w:r>
      <w:r w:rsidRPr="00D221ED">
        <w:rPr>
          <w:rFonts w:asciiTheme="minorHAnsi" w:hAnsiTheme="minorHAnsi" w:cs="TimesNewRomanPS-BoldMT"/>
          <w:b/>
          <w:bCs/>
          <w:color w:val="000000"/>
          <w:sz w:val="24"/>
          <w:szCs w:val="24"/>
          <w:lang w:eastAsia="de-DE"/>
        </w:rPr>
        <w:t>Seide – Die Modesensation in Rom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Rom war die Stadt der Feinschmecker. Es war die Stadt der Mode. Nirgendwo sonst auf der Welt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konzentrierte sich so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viel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Reichtum wie hier. Er kam aus den eroberten und ausgeplünderten Ländern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Asiens und Afrikas und war ein Ergebnis des Welthandels, dessen Zentrum Rom inzw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i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schen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geworden war.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In dieser Umwelt musste das Auftauchen von Seide wie ein Zauber wirken. Das glänzende, leicht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zu färbende Gewebe war wie eine Krönung des Lebensstils, der sich für die römische Obe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r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schicht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herausgebildet hatte. Allerdings dürfen wir uns nicht vorstellen, dass man Seide sofort in den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gewünschten Mengen auf dem römischen Markt bekam. Dafür war sie zu selten und zu schwer zu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beschaffen.</w:t>
      </w:r>
    </w:p>
    <w:p w:rsid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Auf dem Wege von China zum Mittelmeer gab es viele Interessenten für das wertvolle Gut. Und in</w:t>
      </w:r>
    </w:p>
    <w:p w:rsidR="0074151F" w:rsidRPr="00D221ED" w:rsidRDefault="0074151F" w:rsidP="0074151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Theme="minorHAnsi" w:hAnsiTheme="minorHAnsi" w:cs="TimesNewRomanPSMT"/>
          <w:color w:val="000000"/>
          <w:sz w:val="24"/>
          <w:szCs w:val="24"/>
          <w:lang w:eastAsia="de-DE"/>
        </w:rPr>
      </w:pPr>
      <w:r>
        <w:rPr>
          <w:sz w:val="16"/>
          <w:szCs w:val="16"/>
        </w:rPr>
        <w:t xml:space="preserve">© </w:t>
      </w:r>
      <w:proofErr w:type="spellStart"/>
      <w:r>
        <w:rPr>
          <w:sz w:val="16"/>
          <w:szCs w:val="16"/>
        </w:rPr>
        <w:t>wikipedia</w:t>
      </w:r>
      <w:proofErr w:type="spellEnd"/>
      <w:r>
        <w:rPr>
          <w:sz w:val="16"/>
          <w:szCs w:val="16"/>
        </w:rPr>
        <w:t xml:space="preserve"> (gemeinfrei)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Rom war man bereit, allein schon für Seidenfäden und Seidenborten jeden Preis zu zahlen. So blieb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Seide in der römischen Mode zunächst nur ein Accessoire. Man trug sie als Schmuck so wie Gold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oder Diamanten, bestickte mit Seidenfäden die Tuniken oder Togen aus feiner Wolle oder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Baumwolle, verwendete Seide als Saum-, Rock— und Ärmelbesatz. Später schmückte man die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Vorderseite der Tunika mit schmalen, senkrecht aufgenähten Seide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n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streifen. Schon bald aber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begann man, aus Seidenfäden den Stoff für leichte, durchsichtige Damengewänder zu weben, die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zur römischen Modesensation wurden.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Ein zweiter modischer Umbruch fand im Bereich der Farbe statt. Die traditionelle Römerkle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i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dung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war weiß. Doch allmählich waren die Mächtigen und die Reichen dazu übergegangen, ihre Togen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mit Gold und Purpur zu verzieren, um so auf ihren hohen Stand aufmerksam zu machen.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Mit Purpur gefärbt waren dann auch die ersten Seidenstücke, die sich führende Römerinnen und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Römer auf ihre Gewänder nähen ließen. Das war eine Art Statussymbol. Denn Purpur, diese aus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einer Schnecke gewonnene Farbe, war genauso wertvoll und begehrt wie Seide. Goldschmiede,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Seidenweber und Purpurfärber waren nun die gesuchtesten und meistb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e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schäftigten Handwerker in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Rom.</w:t>
      </w:r>
    </w:p>
    <w:p w:rsidR="007B644F" w:rsidRDefault="007B644F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color w:val="000000"/>
          <w:sz w:val="24"/>
          <w:szCs w:val="24"/>
          <w:lang w:eastAsia="de-DE"/>
        </w:rPr>
        <w:sectPr w:rsidR="007B644F" w:rsidSect="007B644F">
          <w:type w:val="continuous"/>
          <w:pgSz w:w="11906" w:h="16838"/>
          <w:pgMar w:top="1418" w:right="1418" w:bottom="1134" w:left="1418" w:header="709" w:footer="709" w:gutter="0"/>
          <w:lnNumType w:countBy="5" w:restart="newSection"/>
          <w:cols w:space="708"/>
          <w:docGrid w:linePitch="360"/>
        </w:sectPr>
      </w:pPr>
    </w:p>
    <w:p w:rsid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color w:val="000000"/>
          <w:sz w:val="24"/>
          <w:szCs w:val="24"/>
          <w:lang w:eastAsia="de-DE"/>
        </w:rPr>
      </w:pP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-BoldMT"/>
          <w:b/>
          <w:bCs/>
          <w:color w:val="000000"/>
          <w:sz w:val="24"/>
          <w:szCs w:val="24"/>
          <w:lang w:eastAsia="de-DE"/>
        </w:rPr>
        <w:t>Q1 Das römische Kaisertum aus chinesischer Sicht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Der chinesische Botschafter </w:t>
      </w:r>
      <w:proofErr w:type="spellStart"/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Gan</w:t>
      </w:r>
      <w:proofErr w:type="spellEnd"/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Ying erreichte im Jahre 97 n. Chr. auf einer Expeditionsreise nach</w:t>
      </w:r>
      <w:r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Westen den </w:t>
      </w:r>
      <w:proofErr w:type="spellStart"/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persischen</w:t>
      </w:r>
      <w:proofErr w:type="spellEnd"/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Golf auf </w:t>
      </w:r>
      <w:proofErr w:type="spellStart"/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partischrem</w:t>
      </w:r>
      <w:proofErr w:type="spellEnd"/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 xml:space="preserve"> Gebiet. Über die Römer berichtet er: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MT"/>
          <w:color w:val="000000"/>
          <w:sz w:val="24"/>
          <w:szCs w:val="24"/>
          <w:lang w:eastAsia="de-DE"/>
        </w:rPr>
        <w:t>„</w:t>
      </w:r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 xml:space="preserve">Sein Gebiet erstreckt sich über mehrere tausend </w:t>
      </w:r>
      <w:r w:rsidRPr="00D221ED">
        <w:rPr>
          <w:rFonts w:asciiTheme="minorHAnsi" w:hAnsiTheme="minorHAnsi" w:cs="TimesNewRomanPS-ItalicMT"/>
          <w:i/>
          <w:iCs/>
          <w:color w:val="000081"/>
          <w:sz w:val="24"/>
          <w:szCs w:val="24"/>
          <w:lang w:eastAsia="de-DE"/>
        </w:rPr>
        <w:t xml:space="preserve">Li </w:t>
      </w:r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>(ein Li entspricht etwa der Hälfte eines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>Kilometers), es hat über 400 befestigte Städte. Ungefähr zehn kleine Staaten sind von ihm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>abhängig. Die äußeren Mauern der Städte sind aus Steinen gebaut. Sie haben Poststationen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>eingerichtet... Es gibt Kiefern und Zypressen.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>Was den König anbelangt, so ist er keine dauerhafte Institution, sondern wird aus den besten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 xml:space="preserve">Männern gewählt. Eine Gruppe von 36 Anführern/Generälen (im Original: </w:t>
      </w:r>
      <w:proofErr w:type="spellStart"/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>chiang</w:t>
      </w:r>
      <w:proofErr w:type="spellEnd"/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>) wurde</w:t>
      </w:r>
    </w:p>
    <w:p w:rsidR="00D221ED" w:rsidRP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lastRenderedPageBreak/>
        <w:t>eingerichtet um sich zu treffen und über die Staatsangelegenheiten zu beraten. Wenn es zu</w:t>
      </w:r>
    </w:p>
    <w:p w:rsid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</w:pPr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 xml:space="preserve">unerwarteten Unglücken im Königreich kommt, so wie besonders starke Stürme </w:t>
      </w:r>
      <w:r w:rsidR="00A5208B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>o</w:t>
      </w:r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>der Regen, wird</w:t>
      </w:r>
      <w:r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>er ohne Zeremonie entlassen und ersetzt. Derjenige, der entlassen wurde, akzep</w:t>
      </w:r>
      <w:r w:rsidR="00A5208B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>t</w:t>
      </w:r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>iert ruhig seine</w:t>
      </w:r>
      <w:r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 xml:space="preserve"> </w:t>
      </w:r>
      <w:r w:rsidRPr="00D221ED">
        <w:rPr>
          <w:rFonts w:asciiTheme="minorHAnsi" w:hAnsiTheme="minorHAnsi" w:cs="TimesNewRomanPS-ItalicMT"/>
          <w:i/>
          <w:iCs/>
          <w:color w:val="000000"/>
          <w:sz w:val="24"/>
          <w:szCs w:val="24"/>
          <w:lang w:eastAsia="de-DE"/>
        </w:rPr>
        <w:t>Entfernung und ist nicht ärgerlich</w:t>
      </w:r>
    </w:p>
    <w:p w:rsidR="007B644F" w:rsidRDefault="007B644F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sectPr w:rsidR="007B644F" w:rsidSect="007B644F">
          <w:type w:val="continuous"/>
          <w:pgSz w:w="11906" w:h="16838"/>
          <w:pgMar w:top="1418" w:right="1418" w:bottom="1134" w:left="1418" w:header="709" w:footer="709" w:gutter="0"/>
          <w:lnNumType w:countBy="5" w:restart="newSection"/>
          <w:cols w:space="708"/>
          <w:docGrid w:linePitch="360"/>
        </w:sectPr>
      </w:pPr>
    </w:p>
    <w:p w:rsid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</w:pPr>
    </w:p>
    <w:p w:rsidR="00D221ED" w:rsidRDefault="00D221ED" w:rsidP="00D221E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</w:pPr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>AA:</w:t>
      </w:r>
    </w:p>
    <w:p w:rsidR="00D221ED" w:rsidRDefault="00D221ED" w:rsidP="00D221ED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</w:pPr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>Erarbeite mit Hilfe von M1, inwieweit sowohl der Lehrer als auch die Schüler etwas über China wussten.</w:t>
      </w:r>
    </w:p>
    <w:p w:rsidR="00D221ED" w:rsidRDefault="00D221ED" w:rsidP="00D221ED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</w:pPr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>Wähle aus:</w:t>
      </w:r>
    </w:p>
    <w:p w:rsidR="00D221ED" w:rsidRDefault="00D221ED" w:rsidP="00D221ED">
      <w:pPr>
        <w:pStyle w:val="Listenabsatz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</w:pPr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>Was würdest du nun zum römischen Lehrer sagen, der diese Verse („Imper</w:t>
      </w:r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>i</w:t>
      </w:r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 xml:space="preserve">um sine </w:t>
      </w:r>
      <w:proofErr w:type="spellStart"/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>fine</w:t>
      </w:r>
      <w:proofErr w:type="spellEnd"/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 xml:space="preserve">“) auswendig lernen lässt. </w:t>
      </w:r>
      <w:r w:rsidR="007B644F"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>Versuche ihn von deiner Aussage zu überzeugen.</w:t>
      </w:r>
    </w:p>
    <w:p w:rsidR="00D221ED" w:rsidRDefault="00D221ED" w:rsidP="00D221ED">
      <w:pPr>
        <w:pStyle w:val="Listenabsatz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</w:pPr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 xml:space="preserve">Was würdest du dem römischen Schüler sagen, der diese Verse („Imperium sine </w:t>
      </w:r>
      <w:proofErr w:type="spellStart"/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>fine</w:t>
      </w:r>
      <w:proofErr w:type="spellEnd"/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>“) auswendig lernt.</w:t>
      </w:r>
      <w:r w:rsidR="007B644F"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 xml:space="preserve"> Versuche ihn von deiner Aussage zu überzeugen.</w:t>
      </w:r>
    </w:p>
    <w:p w:rsidR="007B644F" w:rsidRDefault="00D221ED" w:rsidP="00D221ED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</w:pPr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>Für Schnelle</w:t>
      </w:r>
      <w:r w:rsidR="007B644F"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 xml:space="preserve">: </w:t>
      </w:r>
    </w:p>
    <w:p w:rsidR="00D221ED" w:rsidRDefault="007B644F" w:rsidP="007B644F">
      <w:pPr>
        <w:pStyle w:val="Listenabsatz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</w:pPr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>Arbeitet  aus Q1 heraus, wie die Chinesen den römischen Kaiser sehen.</w:t>
      </w:r>
    </w:p>
    <w:p w:rsidR="007B644F" w:rsidRDefault="007B644F" w:rsidP="007B644F">
      <w:pPr>
        <w:pStyle w:val="Listenabsatz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</w:pPr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 xml:space="preserve">Bewertet dies auf der Grundlage der der lateinischen Verse: „Imperium sine </w:t>
      </w:r>
      <w:proofErr w:type="spellStart"/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>fine</w:t>
      </w:r>
      <w:proofErr w:type="spellEnd"/>
      <w:r>
        <w:rPr>
          <w:rFonts w:asciiTheme="minorHAnsi" w:hAnsiTheme="minorHAnsi" w:cs="TimesNewRomanPS-ItalicMT"/>
          <w:iCs/>
          <w:color w:val="000000"/>
          <w:sz w:val="24"/>
          <w:szCs w:val="24"/>
          <w:lang w:eastAsia="de-DE"/>
        </w:rPr>
        <w:t xml:space="preserve">“. </w:t>
      </w:r>
    </w:p>
    <w:sectPr w:rsidR="007B644F" w:rsidSect="007B644F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9B0" w:rsidRDefault="00A039B0" w:rsidP="00CF5C66">
      <w:pPr>
        <w:spacing w:after="0" w:line="240" w:lineRule="auto"/>
      </w:pPr>
      <w:r>
        <w:separator/>
      </w:r>
    </w:p>
  </w:endnote>
  <w:endnote w:type="continuationSeparator" w:id="0">
    <w:p w:rsidR="00A039B0" w:rsidRDefault="00A039B0" w:rsidP="00CF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ab/>
    </w:r>
    <w:r w:rsidRPr="00CF5C66">
      <w:rPr>
        <w:rFonts w:ascii="Comic Sans MS" w:hAnsi="Comic Sans MS"/>
        <w:sz w:val="16"/>
        <w:szCs w:val="16"/>
      </w:rPr>
      <w:t xml:space="preserve">Seite </w:t>
    </w:r>
    <w:r w:rsidRPr="00CF5C66">
      <w:rPr>
        <w:rFonts w:ascii="Comic Sans MS" w:hAnsi="Comic Sans MS"/>
        <w:sz w:val="16"/>
        <w:szCs w:val="16"/>
      </w:rPr>
      <w:fldChar w:fldCharType="begin"/>
    </w:r>
    <w:r w:rsidRPr="00CF5C66">
      <w:rPr>
        <w:rFonts w:ascii="Comic Sans MS" w:hAnsi="Comic Sans MS"/>
        <w:sz w:val="16"/>
        <w:szCs w:val="16"/>
      </w:rPr>
      <w:instrText>PAGE   \* MERGEFORMAT</w:instrText>
    </w:r>
    <w:r w:rsidRPr="00CF5C66">
      <w:rPr>
        <w:rFonts w:ascii="Comic Sans MS" w:hAnsi="Comic Sans MS"/>
        <w:sz w:val="16"/>
        <w:szCs w:val="16"/>
      </w:rPr>
      <w:fldChar w:fldCharType="separate"/>
    </w:r>
    <w:r w:rsidR="00004B15">
      <w:rPr>
        <w:rFonts w:ascii="Comic Sans MS" w:hAnsi="Comic Sans MS"/>
        <w:noProof/>
        <w:sz w:val="16"/>
        <w:szCs w:val="16"/>
      </w:rPr>
      <w:t>1</w:t>
    </w:r>
    <w:r w:rsidRPr="00CF5C66">
      <w:rPr>
        <w:rFonts w:ascii="Comic Sans MS" w:hAnsi="Comic Sans MS"/>
        <w:sz w:val="16"/>
        <w:szCs w:val="16"/>
      </w:rPr>
      <w:fldChar w:fldCharType="end"/>
    </w:r>
    <w:r>
      <w:rPr>
        <w:rFonts w:ascii="Comic Sans MS" w:hAnsi="Comic Sans MS"/>
        <w:sz w:val="16"/>
        <w:szCs w:val="16"/>
      </w:rPr>
      <w:tab/>
    </w:r>
    <w:proofErr w:type="spellStart"/>
    <w:r w:rsidR="005C50E8">
      <w:rPr>
        <w:rFonts w:ascii="Comic Sans MS" w:hAnsi="Comic Sans MS"/>
        <w:sz w:val="16"/>
        <w:szCs w:val="16"/>
      </w:rPr>
      <w:t>Vgl</w:t>
    </w:r>
    <w:proofErr w:type="spellEnd"/>
    <w:r w:rsidR="005C50E8">
      <w:rPr>
        <w:rFonts w:ascii="Comic Sans MS" w:hAnsi="Comic Sans MS"/>
        <w:sz w:val="16"/>
        <w:szCs w:val="16"/>
      </w:rPr>
      <w:t xml:space="preserve"> China</w:t>
    </w:r>
  </w:p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9B0" w:rsidRDefault="00A039B0" w:rsidP="00CF5C66">
      <w:pPr>
        <w:spacing w:after="0" w:line="240" w:lineRule="auto"/>
      </w:pPr>
      <w:r>
        <w:separator/>
      </w:r>
    </w:p>
  </w:footnote>
  <w:footnote w:type="continuationSeparator" w:id="0">
    <w:p w:rsidR="00A039B0" w:rsidRDefault="00A039B0" w:rsidP="00CF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9C1E4A" w:rsidP="00A723A0">
    <w:pPr>
      <w:pStyle w:val="Kopfzeile"/>
      <w:jc w:val="right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>1f</w:t>
    </w:r>
    <w:r w:rsidR="00CF5C66" w:rsidRPr="00CF5C66">
      <w:rPr>
        <w:rFonts w:ascii="Comic Sans MS" w:hAnsi="Comic Sans MS"/>
        <w:sz w:val="16"/>
        <w:szCs w:val="16"/>
      </w:rPr>
      <w:t>_</w:t>
    </w:r>
    <w:r w:rsidR="005C50E8">
      <w:rPr>
        <w:rFonts w:ascii="Comic Sans MS" w:hAnsi="Comic Sans MS"/>
        <w:sz w:val="16"/>
        <w:szCs w:val="16"/>
      </w:rPr>
      <w:t>China</w:t>
    </w:r>
  </w:p>
  <w:p w:rsidR="00CF5C66" w:rsidRPr="00CF5C66" w:rsidRDefault="00CF5C66" w:rsidP="00A723A0">
    <w:pPr>
      <w:pStyle w:val="Kopfzeile"/>
      <w:jc w:val="right"/>
      <w:rPr>
        <w:rFonts w:ascii="Comic Sans MS" w:hAnsi="Comic Sans MS"/>
        <w:sz w:val="16"/>
        <w:szCs w:val="16"/>
      </w:rPr>
    </w:pPr>
    <w:r w:rsidRPr="00CF5C66">
      <w:rPr>
        <w:rFonts w:ascii="Comic Sans MS" w:hAnsi="Comic Sans MS"/>
        <w:sz w:val="16"/>
        <w:szCs w:val="16"/>
      </w:rPr>
      <w:t>Datum: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32F2"/>
    <w:multiLevelType w:val="hybridMultilevel"/>
    <w:tmpl w:val="528E7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C6778"/>
    <w:multiLevelType w:val="hybridMultilevel"/>
    <w:tmpl w:val="6BD430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D243A"/>
    <w:multiLevelType w:val="hybridMultilevel"/>
    <w:tmpl w:val="F07453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979CE"/>
    <w:multiLevelType w:val="hybridMultilevel"/>
    <w:tmpl w:val="421212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C4AB8"/>
    <w:multiLevelType w:val="hybridMultilevel"/>
    <w:tmpl w:val="671863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971C68"/>
    <w:multiLevelType w:val="hybridMultilevel"/>
    <w:tmpl w:val="13BEC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7B5208"/>
    <w:multiLevelType w:val="hybridMultilevel"/>
    <w:tmpl w:val="A4A863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66"/>
    <w:rsid w:val="00004B15"/>
    <w:rsid w:val="00070E71"/>
    <w:rsid w:val="00091754"/>
    <w:rsid w:val="00093ECC"/>
    <w:rsid w:val="000E22DE"/>
    <w:rsid w:val="001409D3"/>
    <w:rsid w:val="001B4882"/>
    <w:rsid w:val="001E09BB"/>
    <w:rsid w:val="002468FE"/>
    <w:rsid w:val="00273A95"/>
    <w:rsid w:val="00274502"/>
    <w:rsid w:val="003038EE"/>
    <w:rsid w:val="003149D5"/>
    <w:rsid w:val="003615A0"/>
    <w:rsid w:val="00412F6D"/>
    <w:rsid w:val="004B6F4F"/>
    <w:rsid w:val="004D4230"/>
    <w:rsid w:val="005131B0"/>
    <w:rsid w:val="005543BB"/>
    <w:rsid w:val="005C50E8"/>
    <w:rsid w:val="00683BFC"/>
    <w:rsid w:val="006A3396"/>
    <w:rsid w:val="006F53F1"/>
    <w:rsid w:val="0074151F"/>
    <w:rsid w:val="007A56D6"/>
    <w:rsid w:val="007B644F"/>
    <w:rsid w:val="007C3158"/>
    <w:rsid w:val="007E7F29"/>
    <w:rsid w:val="007F00EF"/>
    <w:rsid w:val="00817DAE"/>
    <w:rsid w:val="0082400B"/>
    <w:rsid w:val="008B62CB"/>
    <w:rsid w:val="00910EA3"/>
    <w:rsid w:val="00945968"/>
    <w:rsid w:val="009C1E4A"/>
    <w:rsid w:val="009E6D81"/>
    <w:rsid w:val="00A039B0"/>
    <w:rsid w:val="00A5208B"/>
    <w:rsid w:val="00A654A7"/>
    <w:rsid w:val="00A723A0"/>
    <w:rsid w:val="00AB4E10"/>
    <w:rsid w:val="00B10A4F"/>
    <w:rsid w:val="00BB24C5"/>
    <w:rsid w:val="00C060C0"/>
    <w:rsid w:val="00C3401E"/>
    <w:rsid w:val="00C53769"/>
    <w:rsid w:val="00CD28DC"/>
    <w:rsid w:val="00CF11AB"/>
    <w:rsid w:val="00CF149E"/>
    <w:rsid w:val="00CF5C66"/>
    <w:rsid w:val="00D01239"/>
    <w:rsid w:val="00D221ED"/>
    <w:rsid w:val="00E47861"/>
    <w:rsid w:val="00E97B7D"/>
    <w:rsid w:val="00EA11D0"/>
    <w:rsid w:val="00EA364E"/>
    <w:rsid w:val="00ED139F"/>
    <w:rsid w:val="00ED32E5"/>
    <w:rsid w:val="00F3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BB24C5"/>
    <w:rPr>
      <w:vertAlign w:val="superscript"/>
    </w:rPr>
  </w:style>
  <w:style w:type="table" w:styleId="Tabellenraster">
    <w:name w:val="Table Grid"/>
    <w:basedOn w:val="NormaleTabelle"/>
    <w:uiPriority w:val="39"/>
    <w:rsid w:val="007A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7B64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BB24C5"/>
    <w:rPr>
      <w:vertAlign w:val="superscript"/>
    </w:rPr>
  </w:style>
  <w:style w:type="table" w:styleId="Tabellenraster">
    <w:name w:val="Table Grid"/>
    <w:basedOn w:val="NormaleTabelle"/>
    <w:uiPriority w:val="39"/>
    <w:rsid w:val="007A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7B6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F991F-BDAD-4F8E-AF31-092A5F512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</dc:creator>
  <cp:lastModifiedBy>Job</cp:lastModifiedBy>
  <cp:revision>2</cp:revision>
  <dcterms:created xsi:type="dcterms:W3CDTF">2015-06-11T15:56:00Z</dcterms:created>
  <dcterms:modified xsi:type="dcterms:W3CDTF">2015-06-11T15:56:00Z</dcterms:modified>
</cp:coreProperties>
</file>