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11" w:rsidRPr="002A4454" w:rsidRDefault="00F111A6" w:rsidP="002C471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Die Französische Revolution – Bürgertum, Vernunft, Freiheit</w:t>
      </w:r>
    </w:p>
    <w:p w:rsidR="00217C55" w:rsidRPr="002A4454" w:rsidRDefault="00217C55" w:rsidP="002C471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078"/>
        <w:gridCol w:w="2410"/>
        <w:gridCol w:w="4678"/>
        <w:gridCol w:w="4394"/>
      </w:tblGrid>
      <w:tr w:rsidR="00B114B9" w:rsidRPr="00F111A6" w:rsidTr="002A4454">
        <w:trPr>
          <w:tblHeader/>
        </w:trPr>
        <w:tc>
          <w:tcPr>
            <w:tcW w:w="574" w:type="dxa"/>
            <w:shd w:val="pct20" w:color="auto" w:fill="auto"/>
            <w:vAlign w:val="center"/>
          </w:tcPr>
          <w:p w:rsidR="002A4454" w:rsidRPr="00F111A6" w:rsidRDefault="002A4454" w:rsidP="00C46EF4">
            <w:pPr>
              <w:spacing w:before="120" w:after="120" w:line="240" w:lineRule="auto"/>
              <w:jc w:val="center"/>
              <w:rPr>
                <w:b/>
              </w:rPr>
            </w:pPr>
            <w:r w:rsidRPr="00F111A6">
              <w:rPr>
                <w:b/>
              </w:rPr>
              <w:t>Std.</w:t>
            </w:r>
          </w:p>
        </w:tc>
        <w:tc>
          <w:tcPr>
            <w:tcW w:w="3078" w:type="dxa"/>
            <w:shd w:val="pct20" w:color="auto" w:fill="auto"/>
            <w:vAlign w:val="center"/>
          </w:tcPr>
          <w:p w:rsidR="002A4454" w:rsidRPr="00F111A6" w:rsidRDefault="002A4454" w:rsidP="00C46EF4">
            <w:pPr>
              <w:spacing w:before="120" w:after="120" w:line="240" w:lineRule="auto"/>
              <w:jc w:val="center"/>
              <w:rPr>
                <w:rFonts w:eastAsia="Calibri" w:cs="Times New Roman"/>
                <w:b/>
              </w:rPr>
            </w:pPr>
            <w:r w:rsidRPr="00F111A6">
              <w:rPr>
                <w:rFonts w:eastAsia="Calibri" w:cs="Times New Roman"/>
                <w:b/>
              </w:rPr>
              <w:t>Kompetenzen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2A4454" w:rsidRPr="00F111A6" w:rsidRDefault="002A4454" w:rsidP="00C46EF4">
            <w:pPr>
              <w:spacing w:before="120" w:after="120" w:line="240" w:lineRule="auto"/>
              <w:jc w:val="center"/>
              <w:rPr>
                <w:rFonts w:eastAsia="Calibri" w:cs="Times New Roman"/>
                <w:b/>
              </w:rPr>
            </w:pPr>
            <w:r w:rsidRPr="00F111A6">
              <w:rPr>
                <w:rFonts w:eastAsia="Calibri" w:cs="Times New Roman"/>
                <w:b/>
              </w:rPr>
              <w:t>Thema / mögliche Leitfrage(n)</w:t>
            </w:r>
          </w:p>
        </w:tc>
        <w:tc>
          <w:tcPr>
            <w:tcW w:w="4678" w:type="dxa"/>
            <w:shd w:val="pct20" w:color="auto" w:fill="auto"/>
            <w:vAlign w:val="center"/>
          </w:tcPr>
          <w:p w:rsidR="002A4454" w:rsidRPr="00F111A6" w:rsidRDefault="002A4454" w:rsidP="00C46EF4">
            <w:pPr>
              <w:spacing w:before="120" w:after="120" w:line="240" w:lineRule="auto"/>
              <w:jc w:val="center"/>
              <w:rPr>
                <w:rFonts w:eastAsia="Calibri" w:cs="Times New Roman"/>
                <w:b/>
              </w:rPr>
            </w:pPr>
            <w:r w:rsidRPr="00F111A6">
              <w:rPr>
                <w:b/>
              </w:rPr>
              <w:t>Inhaltliche Aspekte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2A4454" w:rsidRPr="00F111A6" w:rsidRDefault="002A4454" w:rsidP="00C46EF4">
            <w:pPr>
              <w:spacing w:before="120" w:after="120" w:line="240" w:lineRule="auto"/>
              <w:jc w:val="center"/>
              <w:rPr>
                <w:rFonts w:eastAsia="Calibri" w:cs="Times New Roman"/>
                <w:b/>
              </w:rPr>
            </w:pPr>
            <w:r w:rsidRPr="00F111A6">
              <w:rPr>
                <w:rFonts w:eastAsia="Calibri" w:cs="Times New Roman"/>
                <w:b/>
              </w:rPr>
              <w:t>weitere Hinweise (z. B. Material, Methoden, Differenzierung)</w:t>
            </w:r>
          </w:p>
        </w:tc>
      </w:tr>
      <w:tr w:rsidR="00B114B9" w:rsidRPr="00F111A6" w:rsidTr="000B3501">
        <w:trPr>
          <w:cantSplit/>
          <w:trHeight w:val="1134"/>
        </w:trPr>
        <w:tc>
          <w:tcPr>
            <w:tcW w:w="574" w:type="dxa"/>
          </w:tcPr>
          <w:p w:rsidR="000B3501" w:rsidRDefault="002A4454" w:rsidP="00C46EF4">
            <w:pPr>
              <w:spacing w:before="120" w:after="120" w:line="240" w:lineRule="auto"/>
              <w:jc w:val="center"/>
            </w:pPr>
            <w:r w:rsidRPr="00F111A6">
              <w:t>1</w:t>
            </w:r>
            <w:r w:rsidR="007F344E">
              <w:t>a</w:t>
            </w:r>
            <w:r w:rsidRPr="00F111A6">
              <w:t>.</w:t>
            </w:r>
          </w:p>
          <w:p w:rsidR="000B3501" w:rsidRPr="00F111A6" w:rsidRDefault="000B3501" w:rsidP="00C46EF4">
            <w:pPr>
              <w:spacing w:before="120" w:after="120" w:line="240" w:lineRule="auto"/>
              <w:jc w:val="center"/>
            </w:pPr>
          </w:p>
        </w:tc>
        <w:tc>
          <w:tcPr>
            <w:tcW w:w="3078" w:type="dxa"/>
            <w:shd w:val="clear" w:color="auto" w:fill="auto"/>
          </w:tcPr>
          <w:p w:rsidR="00C46EF4" w:rsidRDefault="00F111A6" w:rsidP="00C46EF4">
            <w:pPr>
              <w:spacing w:before="120" w:after="120" w:line="240" w:lineRule="auto"/>
              <w:rPr>
                <w:rFonts w:cs="Times New Roman"/>
              </w:rPr>
            </w:pPr>
            <w:r w:rsidRPr="00F111A6">
              <w:rPr>
                <w:rFonts w:cs="Times New Roman"/>
              </w:rPr>
              <w:t>die politische</w:t>
            </w:r>
            <w:r w:rsidR="00141347">
              <w:rPr>
                <w:rFonts w:cs="Times New Roman"/>
              </w:rPr>
              <w:t>n</w:t>
            </w:r>
            <w:r w:rsidRPr="00F111A6">
              <w:rPr>
                <w:rFonts w:cs="Times New Roman"/>
              </w:rPr>
              <w:t xml:space="preserve"> und gesellschaftliche</w:t>
            </w:r>
            <w:r w:rsidR="00141347">
              <w:rPr>
                <w:rFonts w:cs="Times New Roman"/>
              </w:rPr>
              <w:t>n</w:t>
            </w:r>
            <w:r w:rsidRPr="00F111A6">
              <w:rPr>
                <w:rFonts w:cs="Times New Roman"/>
              </w:rPr>
              <w:t xml:space="preserve"> Ursachen der Französischen Revolution erklären (Sonnenkönig)</w:t>
            </w:r>
          </w:p>
          <w:p w:rsidR="00B664F4" w:rsidRPr="00C46EF4" w:rsidRDefault="00B664F4" w:rsidP="00C46EF4">
            <w:pPr>
              <w:spacing w:before="120" w:after="120" w:line="240" w:lineRule="auto"/>
              <w:rPr>
                <w:rFonts w:cs="Times New Roman"/>
              </w:rPr>
            </w:pPr>
            <w:r>
              <w:rPr>
                <w:rFonts w:eastAsia="Calibri" w:cs="Times New Roman"/>
              </w:rPr>
              <w:t>M</w:t>
            </w:r>
            <w:r w:rsidR="002A4454" w:rsidRPr="00F111A6">
              <w:rPr>
                <w:rFonts w:eastAsia="Calibri" w:cs="Times New Roman"/>
              </w:rPr>
              <w:t>K</w:t>
            </w:r>
            <w:r w:rsidR="00633C88">
              <w:rPr>
                <w:rFonts w:eastAsia="Calibri" w:cs="Times New Roman"/>
              </w:rPr>
              <w:t xml:space="preserve"> 2</w:t>
            </w:r>
            <w:r w:rsidR="002A4454" w:rsidRPr="00F111A6">
              <w:rPr>
                <w:rFonts w:eastAsia="Calibri" w:cs="Times New Roman"/>
              </w:rPr>
              <w:t xml:space="preserve">: </w:t>
            </w:r>
            <w:r w:rsidR="00633C88">
              <w:rPr>
                <w:rFonts w:eastAsia="Calibri" w:cs="Times New Roman"/>
              </w:rPr>
              <w:t>unterschiedliche Materialien (Historiengemälde) kritisch analysieren</w:t>
            </w:r>
          </w:p>
        </w:tc>
        <w:tc>
          <w:tcPr>
            <w:tcW w:w="2410" w:type="dxa"/>
            <w:shd w:val="clear" w:color="auto" w:fill="auto"/>
          </w:tcPr>
          <w:p w:rsidR="00B803D7" w:rsidRPr="00F111A6" w:rsidRDefault="00F111A6" w:rsidP="00C46EF4">
            <w:p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C46EF4">
              <w:rPr>
                <w:rFonts w:eastAsia="Calibri" w:cs="Times New Roman"/>
              </w:rPr>
              <w:t xml:space="preserve">a.) </w:t>
            </w:r>
            <w:r w:rsidR="00633C88">
              <w:rPr>
                <w:rFonts w:eastAsia="Calibri" w:cs="Times New Roman"/>
              </w:rPr>
              <w:t>Ludwig XIV. – ein „Sonnenkönig“?</w:t>
            </w:r>
          </w:p>
        </w:tc>
        <w:tc>
          <w:tcPr>
            <w:tcW w:w="4678" w:type="dxa"/>
            <w:shd w:val="clear" w:color="auto" w:fill="auto"/>
          </w:tcPr>
          <w:p w:rsidR="00644F10" w:rsidRPr="00C46EF4" w:rsidRDefault="004B616C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Selbstanspruch des „absolutistischen“</w:t>
            </w:r>
            <w:r w:rsidR="00D61812" w:rsidRPr="00721D75">
              <w:rPr>
                <w:rFonts w:eastAsia="Calibri" w:cs="Times New Roman"/>
                <w:lang w:eastAsia="de-DE"/>
              </w:rPr>
              <w:t xml:space="preserve"> </w:t>
            </w:r>
            <w:r w:rsidR="00721D75" w:rsidRPr="00721D75">
              <w:rPr>
                <w:rFonts w:eastAsia="Calibri" w:cs="Times New Roman"/>
                <w:lang w:eastAsia="de-DE"/>
              </w:rPr>
              <w:t xml:space="preserve">Herrschers Ludwigs XIV. </w:t>
            </w:r>
          </w:p>
        </w:tc>
        <w:tc>
          <w:tcPr>
            <w:tcW w:w="4394" w:type="dxa"/>
            <w:shd w:val="clear" w:color="auto" w:fill="auto"/>
          </w:tcPr>
          <w:p w:rsidR="00633C88" w:rsidRDefault="00633C88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Rigauds Herrscherporträt Ludw</w:t>
            </w:r>
            <w:r w:rsidR="00E171D0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g XIV., Vergleich mit Selbstdarstellung heutiger Idole</w:t>
            </w:r>
          </w:p>
          <w:p w:rsidR="002A4454" w:rsidRPr="00C46EF4" w:rsidRDefault="00C46EF4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Alternativen: </w:t>
            </w:r>
            <w:r w:rsidR="00721D75">
              <w:rPr>
                <w:rFonts w:eastAsia="Calibri" w:cs="Times New Roman"/>
              </w:rPr>
              <w:t>Ansichten absolutistischer Schlösser (Ver</w:t>
            </w:r>
            <w:r>
              <w:rPr>
                <w:rFonts w:eastAsia="Calibri" w:cs="Times New Roman"/>
              </w:rPr>
              <w:t>sailles, Ludwigsburg, Karlsruhe …)</w:t>
            </w:r>
          </w:p>
        </w:tc>
      </w:tr>
      <w:tr w:rsidR="00B114B9" w:rsidRPr="00F111A6" w:rsidTr="000B3501">
        <w:trPr>
          <w:cantSplit/>
          <w:trHeight w:val="1134"/>
        </w:trPr>
        <w:tc>
          <w:tcPr>
            <w:tcW w:w="574" w:type="dxa"/>
          </w:tcPr>
          <w:p w:rsidR="00C46EF4" w:rsidRDefault="00C46EF4" w:rsidP="00C46EF4">
            <w:pPr>
              <w:spacing w:before="120" w:after="120" w:line="240" w:lineRule="auto"/>
              <w:jc w:val="center"/>
            </w:pPr>
            <w:r w:rsidRPr="00F111A6">
              <w:t>1</w:t>
            </w:r>
            <w:r w:rsidR="007F344E">
              <w:t>b</w:t>
            </w:r>
            <w:r w:rsidRPr="00F111A6">
              <w:t>.</w:t>
            </w:r>
          </w:p>
          <w:p w:rsidR="00C46EF4" w:rsidRPr="00F111A6" w:rsidRDefault="00C46EF4" w:rsidP="00C46EF4">
            <w:pPr>
              <w:spacing w:before="120" w:after="120" w:line="240" w:lineRule="auto"/>
              <w:ind w:left="360"/>
              <w:jc w:val="center"/>
            </w:pPr>
          </w:p>
        </w:tc>
        <w:tc>
          <w:tcPr>
            <w:tcW w:w="3078" w:type="dxa"/>
            <w:shd w:val="clear" w:color="auto" w:fill="auto"/>
          </w:tcPr>
          <w:p w:rsidR="00C46EF4" w:rsidRPr="00F111A6" w:rsidRDefault="00C46EF4" w:rsidP="00C46EF4">
            <w:pPr>
              <w:spacing w:before="120" w:after="120" w:line="240" w:lineRule="auto"/>
              <w:rPr>
                <w:rFonts w:cs="Times New Roman"/>
              </w:rPr>
            </w:pPr>
            <w:r w:rsidRPr="00F111A6">
              <w:rPr>
                <w:rFonts w:cs="Times New Roman"/>
              </w:rPr>
              <w:t>die politische</w:t>
            </w:r>
            <w:r>
              <w:rPr>
                <w:rFonts w:cs="Times New Roman"/>
              </w:rPr>
              <w:t>n</w:t>
            </w:r>
            <w:r w:rsidRPr="00F111A6">
              <w:rPr>
                <w:rFonts w:cs="Times New Roman"/>
              </w:rPr>
              <w:t xml:space="preserve"> und gesellschaftliche</w:t>
            </w:r>
            <w:r>
              <w:rPr>
                <w:rFonts w:cs="Times New Roman"/>
              </w:rPr>
              <w:t>n</w:t>
            </w:r>
            <w:r w:rsidRPr="00F111A6">
              <w:rPr>
                <w:rFonts w:cs="Times New Roman"/>
              </w:rPr>
              <w:t xml:space="preserve"> Ursachen der Französischen Revolution erklären (Ständegesellschaft)</w:t>
            </w:r>
          </w:p>
        </w:tc>
        <w:tc>
          <w:tcPr>
            <w:tcW w:w="2410" w:type="dxa"/>
            <w:shd w:val="clear" w:color="auto" w:fill="auto"/>
          </w:tcPr>
          <w:p w:rsidR="00C46EF4" w:rsidRDefault="00C46EF4" w:rsidP="00C46EF4">
            <w:p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1b.) Die Ständegesellschaft – wer will sie (nicht)?</w:t>
            </w:r>
          </w:p>
        </w:tc>
        <w:tc>
          <w:tcPr>
            <w:tcW w:w="4678" w:type="dxa"/>
            <w:shd w:val="clear" w:color="auto" w:fill="auto"/>
          </w:tcPr>
          <w:p w:rsidR="00C46EF4" w:rsidRPr="00721D75" w:rsidRDefault="00C46EF4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Aufbau der Ständegesellschaft um 1750 in Frankreich</w:t>
            </w:r>
          </w:p>
          <w:p w:rsidR="00C46EF4" w:rsidRPr="00721D75" w:rsidRDefault="00C46EF4" w:rsidP="004B616C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 xml:space="preserve">Diskussion: Funktioniert das? Welche Pro-bleme? Wer unzufrieden? Wer zufrieden? </w:t>
            </w:r>
          </w:p>
        </w:tc>
        <w:tc>
          <w:tcPr>
            <w:tcW w:w="4394" w:type="dxa"/>
            <w:shd w:val="clear" w:color="auto" w:fill="auto"/>
          </w:tcPr>
          <w:p w:rsidR="00C46EF4" w:rsidRDefault="00C46EF4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Karikaturen zur französischen Ständegesellschaft</w:t>
            </w:r>
          </w:p>
          <w:p w:rsidR="00C46EF4" w:rsidRDefault="00C46EF4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eastAsia="de-DE"/>
              </w:rPr>
              <w:t>Statistiken zur französischen Ständegesellschaft (Schaubild erstellen)</w:t>
            </w:r>
          </w:p>
        </w:tc>
      </w:tr>
      <w:tr w:rsidR="00B114B9" w:rsidRPr="00F111A6" w:rsidTr="00C53C9E">
        <w:trPr>
          <w:trHeight w:val="3100"/>
        </w:trPr>
        <w:tc>
          <w:tcPr>
            <w:tcW w:w="574" w:type="dxa"/>
          </w:tcPr>
          <w:p w:rsidR="000B3501" w:rsidRPr="00F111A6" w:rsidRDefault="00F111A6" w:rsidP="00B114B9">
            <w:pPr>
              <w:spacing w:before="120" w:after="120" w:line="240" w:lineRule="auto"/>
              <w:jc w:val="center"/>
            </w:pPr>
            <w:r>
              <w:t>2.</w:t>
            </w:r>
          </w:p>
        </w:tc>
        <w:tc>
          <w:tcPr>
            <w:tcW w:w="3078" w:type="dxa"/>
            <w:shd w:val="clear" w:color="auto" w:fill="auto"/>
          </w:tcPr>
          <w:p w:rsidR="00F111A6" w:rsidRPr="00F111A6" w:rsidRDefault="00F111A6" w:rsidP="00C46EF4">
            <w:pPr>
              <w:spacing w:before="120" w:after="120" w:line="240" w:lineRule="auto"/>
              <w:rPr>
                <w:rFonts w:cs="Times New Roman"/>
              </w:rPr>
            </w:pPr>
            <w:r w:rsidRPr="00F111A6">
              <w:rPr>
                <w:rFonts w:cs="Times New Roman"/>
              </w:rPr>
              <w:t>die politische</w:t>
            </w:r>
            <w:r w:rsidR="00141347">
              <w:rPr>
                <w:rFonts w:cs="Times New Roman"/>
              </w:rPr>
              <w:t>n</w:t>
            </w:r>
            <w:r w:rsidRPr="00F111A6">
              <w:rPr>
                <w:rFonts w:cs="Times New Roman"/>
              </w:rPr>
              <w:t xml:space="preserve"> und gesellschaftliche</w:t>
            </w:r>
            <w:r w:rsidR="00141347">
              <w:rPr>
                <w:rFonts w:cs="Times New Roman"/>
              </w:rPr>
              <w:t>n</w:t>
            </w:r>
            <w:r w:rsidRPr="00F111A6">
              <w:rPr>
                <w:rFonts w:cs="Times New Roman"/>
              </w:rPr>
              <w:t xml:space="preserve"> Ursachen der Französischen Revolution erklären (Aufklärung</w:t>
            </w:r>
            <w:r w:rsidRPr="00B803D7">
              <w:rPr>
                <w:rFonts w:cs="Times New Roman"/>
                <w:color w:val="000000" w:themeColor="text1"/>
              </w:rPr>
              <w:t>, Lesegesellschaft</w:t>
            </w:r>
            <w:r w:rsidRPr="00F111A6">
              <w:rPr>
                <w:rFonts w:cs="Times New Roman"/>
              </w:rPr>
              <w:t>)</w:t>
            </w:r>
          </w:p>
          <w:p w:rsidR="00F111A6" w:rsidRPr="00F111A6" w:rsidRDefault="00633C88" w:rsidP="00B114B9">
            <w:pPr>
              <w:spacing w:before="120" w:after="120" w:line="240" w:lineRule="auto"/>
              <w:contextualSpacing/>
              <w:rPr>
                <w:rFonts w:cs="Times New Roman"/>
              </w:rPr>
            </w:pPr>
            <w:r>
              <w:rPr>
                <w:rFonts w:eastAsia="Calibri" w:cs="Times New Roman"/>
              </w:rPr>
              <w:t>SK 5</w:t>
            </w:r>
            <w:r w:rsidR="00F111A6" w:rsidRPr="00F111A6">
              <w:rPr>
                <w:rFonts w:eastAsia="Calibri" w:cs="Times New Roman"/>
              </w:rPr>
              <w:t xml:space="preserve">: </w:t>
            </w:r>
            <w:r>
              <w:rPr>
                <w:rFonts w:eastAsia="Calibri" w:cs="Times New Roman"/>
              </w:rPr>
              <w:t>wichtige Gruppen in den jeweiligen Gesellschaften unterscheiden sowie deren Funktionen, Interessen und Handlungsmöglichkeiten beschreiben</w:t>
            </w:r>
          </w:p>
        </w:tc>
        <w:tc>
          <w:tcPr>
            <w:tcW w:w="2410" w:type="dxa"/>
            <w:shd w:val="clear" w:color="auto" w:fill="auto"/>
          </w:tcPr>
          <w:p w:rsidR="00F111A6" w:rsidRPr="00F111A6" w:rsidRDefault="00721D75" w:rsidP="00B114B9">
            <w:p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</w:t>
            </w:r>
            <w:r w:rsidR="00633C88">
              <w:rPr>
                <w:rFonts w:eastAsia="Calibri" w:cs="Times New Roman"/>
              </w:rPr>
              <w:t xml:space="preserve">Ist </w:t>
            </w:r>
            <w:r w:rsidR="00B803D7">
              <w:rPr>
                <w:rFonts w:eastAsia="Calibri" w:cs="Times New Roman"/>
              </w:rPr>
              <w:t>Wissen Macht</w:t>
            </w:r>
            <w:r w:rsidR="00633C88">
              <w:rPr>
                <w:rFonts w:eastAsia="Calibri" w:cs="Times New Roman"/>
              </w:rPr>
              <w:t xml:space="preserve">? </w:t>
            </w:r>
            <w:r w:rsidR="00C46EF4">
              <w:rPr>
                <w:rFonts w:eastAsia="Calibri" w:cs="Times New Roman"/>
              </w:rPr>
              <w:t>Aufbrüche in de</w:t>
            </w:r>
            <w:r w:rsidR="00B114B9">
              <w:rPr>
                <w:rFonts w:eastAsia="Calibri" w:cs="Times New Roman"/>
              </w:rPr>
              <w:t xml:space="preserve">r </w:t>
            </w:r>
            <w:r w:rsidR="00C46EF4">
              <w:rPr>
                <w:rFonts w:eastAsia="Calibri" w:cs="Times New Roman"/>
              </w:rPr>
              <w:t>Ständegesellschaft</w:t>
            </w:r>
          </w:p>
        </w:tc>
        <w:tc>
          <w:tcPr>
            <w:tcW w:w="4678" w:type="dxa"/>
            <w:shd w:val="clear" w:color="auto" w:fill="auto"/>
          </w:tcPr>
          <w:p w:rsidR="00C46EF4" w:rsidRDefault="00C46EF4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Bedeutung des Lesens allgemein</w:t>
            </w:r>
          </w:p>
          <w:p w:rsidR="00B803D7" w:rsidRDefault="00B803D7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Bedeutung der Lesegesellschaften für die Verbreitung aufklärerischer Ideen</w:t>
            </w:r>
          </w:p>
          <w:p w:rsidR="00C46EF4" w:rsidRDefault="00C46EF4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Anliegen und Anspruch der Aufklärung</w:t>
            </w:r>
          </w:p>
          <w:p w:rsidR="00153EC5" w:rsidRDefault="00153EC5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Formen des Aufbegehrens</w:t>
            </w:r>
            <w:r w:rsidR="00C46EF4">
              <w:rPr>
                <w:rFonts w:eastAsia="Calibri" w:cs="Times New Roman"/>
                <w:lang w:eastAsia="de-DE"/>
              </w:rPr>
              <w:t xml:space="preserve"> durch das Bürgertum</w:t>
            </w:r>
          </w:p>
          <w:p w:rsidR="00C46EF4" w:rsidRDefault="00C46EF4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Weitere Formen des Aufbegehrens</w:t>
            </w:r>
          </w:p>
          <w:p w:rsidR="00644F10" w:rsidRPr="00F111A6" w:rsidRDefault="00644F10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 xml:space="preserve">Diskussion: </w:t>
            </w:r>
            <w:r w:rsidR="00BC3BAC">
              <w:rPr>
                <w:rFonts w:eastAsia="Calibri" w:cs="Times New Roman"/>
                <w:lang w:eastAsia="de-DE"/>
              </w:rPr>
              <w:t>Welche Erfolgsaussichten haben die Aufklärer</w:t>
            </w:r>
            <w:r>
              <w:rPr>
                <w:rFonts w:eastAsia="Calibri" w:cs="Times New Roman"/>
                <w:lang w:eastAsia="de-DE"/>
              </w:rPr>
              <w:t xml:space="preserve">? </w:t>
            </w:r>
          </w:p>
        </w:tc>
        <w:tc>
          <w:tcPr>
            <w:tcW w:w="4394" w:type="dxa"/>
            <w:shd w:val="clear" w:color="auto" w:fill="auto"/>
          </w:tcPr>
          <w:p w:rsidR="00C46EF4" w:rsidRDefault="00C46EF4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 xml:space="preserve">kurzer Sachtext mit Gedanken der Aufklärung </w:t>
            </w:r>
          </w:p>
          <w:p w:rsidR="006A41DE" w:rsidRDefault="006A41DE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Bericht über Zwischenfall im Theater von Grenoble 1769</w:t>
            </w:r>
          </w:p>
          <w:p w:rsidR="006A41DE" w:rsidRPr="00C46EF4" w:rsidRDefault="006A41DE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Auszüge aus den „Cahier des doléances“ (Beschwerdeheften)</w:t>
            </w:r>
          </w:p>
        </w:tc>
      </w:tr>
      <w:tr w:rsidR="00B114B9" w:rsidRPr="00F111A6" w:rsidTr="002A4454">
        <w:tc>
          <w:tcPr>
            <w:tcW w:w="574" w:type="dxa"/>
          </w:tcPr>
          <w:p w:rsidR="000B3501" w:rsidRDefault="00F111A6" w:rsidP="00C46EF4">
            <w:pPr>
              <w:spacing w:before="120" w:after="120" w:line="240" w:lineRule="auto"/>
              <w:jc w:val="center"/>
            </w:pPr>
            <w:r>
              <w:t>3</w:t>
            </w:r>
            <w:r w:rsidR="003270C1">
              <w:t>.</w:t>
            </w:r>
          </w:p>
          <w:p w:rsidR="000B3501" w:rsidRPr="00F111A6" w:rsidRDefault="000B3501" w:rsidP="00C46EF4">
            <w:pPr>
              <w:spacing w:before="120" w:after="120" w:line="240" w:lineRule="auto"/>
              <w:jc w:val="center"/>
            </w:pPr>
          </w:p>
        </w:tc>
        <w:tc>
          <w:tcPr>
            <w:tcW w:w="3078" w:type="dxa"/>
            <w:shd w:val="clear" w:color="auto" w:fill="auto"/>
          </w:tcPr>
          <w:p w:rsidR="00F111A6" w:rsidRPr="00F111A6" w:rsidRDefault="00F111A6" w:rsidP="00C46EF4">
            <w:pPr>
              <w:pStyle w:val="BPIKTeilkompetenzBeschreibung"/>
              <w:spacing w:before="120" w:after="12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11A6">
              <w:rPr>
                <w:rFonts w:asciiTheme="minorHAnsi" w:hAnsiTheme="minorHAnsi"/>
                <w:sz w:val="22"/>
                <w:szCs w:val="22"/>
              </w:rPr>
              <w:t>den Sturz des Ancien Régime durch die Französische Revolution als Umbruch analysieren</w:t>
            </w:r>
            <w:r w:rsidRPr="00F111A6" w:rsidDel="003152E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A4454" w:rsidRPr="00F111A6" w:rsidRDefault="00F111A6" w:rsidP="00C46EF4">
            <w:pPr>
              <w:spacing w:before="120" w:after="120" w:line="240" w:lineRule="auto"/>
              <w:rPr>
                <w:rFonts w:eastAsia="Calibri" w:cs="Times New Roman"/>
              </w:rPr>
            </w:pPr>
            <w:r w:rsidRPr="00F111A6">
              <w:t xml:space="preserve">(Revolution: Menschen- </w:t>
            </w:r>
            <w:r w:rsidRPr="00E171D0">
              <w:t>und Bürgerrechte</w:t>
            </w:r>
            <w:r w:rsidR="00B803D7" w:rsidRPr="00E171D0">
              <w:t>, Ver</w:t>
            </w:r>
            <w:r w:rsidR="00B803D7">
              <w:t>fassung</w:t>
            </w:r>
            <w:r w:rsidRPr="00F111A6">
              <w:t>)</w:t>
            </w:r>
          </w:p>
          <w:p w:rsidR="002A4454" w:rsidRPr="00F111A6" w:rsidRDefault="00FF0227" w:rsidP="00C46EF4">
            <w:p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O</w:t>
            </w:r>
            <w:r w:rsidR="002A4454" w:rsidRPr="00F111A6">
              <w:rPr>
                <w:rFonts w:eastAsia="Calibri" w:cs="Times New Roman"/>
              </w:rPr>
              <w:t>K</w:t>
            </w:r>
            <w:r>
              <w:rPr>
                <w:rFonts w:eastAsia="Calibri" w:cs="Times New Roman"/>
              </w:rPr>
              <w:t xml:space="preserve"> 5</w:t>
            </w:r>
            <w:r w:rsidR="002A4454" w:rsidRPr="00F111A6">
              <w:rPr>
                <w:rFonts w:eastAsia="Calibri" w:cs="Times New Roman"/>
              </w:rPr>
              <w:t>:</w:t>
            </w:r>
            <w:r>
              <w:rPr>
                <w:rFonts w:eastAsia="Calibri" w:cs="Times New Roman"/>
              </w:rPr>
              <w:t xml:space="preserve"> die Übertragbarkeit historischer Erkenntnisse auf aktuelle Probleme und mögliche Handlungsoptionen für die Zukunft erörtern</w:t>
            </w:r>
          </w:p>
        </w:tc>
        <w:tc>
          <w:tcPr>
            <w:tcW w:w="2410" w:type="dxa"/>
            <w:shd w:val="clear" w:color="auto" w:fill="auto"/>
          </w:tcPr>
          <w:p w:rsidR="00B803D7" w:rsidRPr="00F111A6" w:rsidRDefault="00BC3BAC" w:rsidP="00C46EF4">
            <w:p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3. </w:t>
            </w:r>
            <w:r w:rsidR="00B803D7">
              <w:rPr>
                <w:rFonts w:eastAsia="Calibri" w:cs="Times New Roman"/>
              </w:rPr>
              <w:t>Was ist das Revolutionäre a</w:t>
            </w:r>
            <w:r w:rsidR="00C46EF4">
              <w:rPr>
                <w:rFonts w:eastAsia="Calibri" w:cs="Times New Roman"/>
              </w:rPr>
              <w:t>n den Ereignissen in Frankreich</w:t>
            </w:r>
            <w:r w:rsidR="00B803D7">
              <w:rPr>
                <w:rFonts w:eastAsia="Calibri" w:cs="Times New Roman"/>
              </w:rPr>
              <w:t xml:space="preserve"> 1789</w:t>
            </w:r>
            <w:r w:rsidR="00C46EF4">
              <w:rPr>
                <w:rFonts w:eastAsia="Calibri" w:cs="Times New Roman"/>
              </w:rPr>
              <w:t>/ 1791</w:t>
            </w:r>
            <w:r w:rsidR="00B803D7">
              <w:rPr>
                <w:rFonts w:eastAsia="Calibri" w:cs="Times New Roman"/>
              </w:rPr>
              <w:t xml:space="preserve">? </w:t>
            </w:r>
          </w:p>
        </w:tc>
        <w:tc>
          <w:tcPr>
            <w:tcW w:w="4678" w:type="dxa"/>
            <w:shd w:val="clear" w:color="auto" w:fill="auto"/>
          </w:tcPr>
          <w:p w:rsidR="00C46EF4" w:rsidRDefault="00C46EF4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 xml:space="preserve">Von der Finanzkrise zur Erklärung der Menschenrechte </w:t>
            </w:r>
          </w:p>
          <w:p w:rsidR="00153EC5" w:rsidRDefault="00153EC5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Erklärung der Menschen- und Bürgerrechte</w:t>
            </w:r>
          </w:p>
          <w:p w:rsidR="00EC246C" w:rsidRDefault="004B616C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 xml:space="preserve">Die </w:t>
            </w:r>
            <w:r w:rsidR="00EC246C">
              <w:rPr>
                <w:rFonts w:eastAsia="Calibri" w:cs="Times New Roman"/>
                <w:lang w:eastAsia="de-DE"/>
              </w:rPr>
              <w:t>Verfassung von 1791</w:t>
            </w:r>
            <w:r w:rsidR="00C46EF4">
              <w:rPr>
                <w:rFonts w:eastAsia="Calibri" w:cs="Times New Roman"/>
                <w:lang w:eastAsia="de-DE"/>
              </w:rPr>
              <w:t xml:space="preserve"> – inwieweit </w:t>
            </w:r>
            <w:bookmarkStart w:id="0" w:name="_GoBack"/>
            <w:bookmarkEnd w:id="0"/>
            <w:r>
              <w:rPr>
                <w:rFonts w:eastAsia="Calibri" w:cs="Times New Roman"/>
                <w:lang w:eastAsia="de-DE"/>
              </w:rPr>
              <w:t xml:space="preserve">ist das </w:t>
            </w:r>
            <w:r w:rsidR="00C46EF4">
              <w:rPr>
                <w:rFonts w:eastAsia="Calibri" w:cs="Times New Roman"/>
                <w:lang w:eastAsia="de-DE"/>
              </w:rPr>
              <w:t>revolutionär?</w:t>
            </w:r>
          </w:p>
          <w:p w:rsidR="004B616C" w:rsidRDefault="004B616C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Vergleich: Frankreich vor bzw. nach 1789/91</w:t>
            </w:r>
          </w:p>
          <w:p w:rsidR="00015F52" w:rsidRPr="00F111A6" w:rsidRDefault="00015F52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lastRenderedPageBreak/>
              <w:t>Aktualisierung: Bedeutung von Freiheit und Gleichheit</w:t>
            </w:r>
            <w:r w:rsidR="00C46EF4">
              <w:rPr>
                <w:rFonts w:eastAsia="Calibri" w:cs="Times New Roman"/>
                <w:lang w:eastAsia="de-DE"/>
              </w:rPr>
              <w:t xml:space="preserve"> heute</w:t>
            </w:r>
          </w:p>
        </w:tc>
        <w:tc>
          <w:tcPr>
            <w:tcW w:w="4394" w:type="dxa"/>
            <w:shd w:val="clear" w:color="auto" w:fill="auto"/>
          </w:tcPr>
          <w:p w:rsidR="00EC246C" w:rsidRPr="00EC246C" w:rsidRDefault="00EC246C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 w:rsidRPr="00EC246C">
              <w:rPr>
                <w:rFonts w:eastAsia="Calibri" w:cs="Times New Roman"/>
              </w:rPr>
              <w:lastRenderedPageBreak/>
              <w:t xml:space="preserve">Überblick </w:t>
            </w:r>
            <w:r w:rsidR="00C46EF4">
              <w:rPr>
                <w:rFonts w:eastAsia="Calibri" w:cs="Times New Roman"/>
              </w:rPr>
              <w:t>(</w:t>
            </w:r>
            <w:r w:rsidR="00C46EF4">
              <w:rPr>
                <w:rFonts w:eastAsia="Calibri" w:cs="Times New Roman"/>
                <w:lang w:eastAsia="de-DE"/>
              </w:rPr>
              <w:t xml:space="preserve">„Fähre“) </w:t>
            </w:r>
            <w:r w:rsidRPr="00EC246C">
              <w:rPr>
                <w:rFonts w:eastAsia="Calibri" w:cs="Times New Roman"/>
              </w:rPr>
              <w:t>über den Verlauf</w:t>
            </w:r>
            <w:r w:rsidR="004B616C">
              <w:rPr>
                <w:rFonts w:eastAsia="Calibri" w:cs="Times New Roman"/>
              </w:rPr>
              <w:t xml:space="preserve"> der revolutionären Ereignisse </w:t>
            </w:r>
          </w:p>
          <w:p w:rsidR="00F37F5F" w:rsidRDefault="00153EC5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Gemälde eines unbekannten Malers </w:t>
            </w:r>
          </w:p>
          <w:p w:rsidR="00153EC5" w:rsidRDefault="00153EC5" w:rsidP="00C46EF4">
            <w:pPr>
              <w:pStyle w:val="Listenabsatz"/>
              <w:spacing w:before="120" w:after="120" w:line="240" w:lineRule="auto"/>
              <w:ind w:left="360"/>
              <w:rPr>
                <w:rFonts w:eastAsia="Calibri" w:cs="Times New Roman"/>
              </w:rPr>
            </w:pPr>
            <w:r w:rsidRPr="00F37F5F">
              <w:rPr>
                <w:rFonts w:eastAsia="Calibri" w:cs="Times New Roman"/>
              </w:rPr>
              <w:t>„Sturm auf die Bastille“</w:t>
            </w:r>
          </w:p>
          <w:p w:rsidR="00153EC5" w:rsidRDefault="00F37F5F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Quellenarbeit zu den Menschen- und Bürgerrechten</w:t>
            </w:r>
          </w:p>
          <w:p w:rsidR="00B803D7" w:rsidRDefault="00015F52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Vergleich mit </w:t>
            </w:r>
            <w:r w:rsidR="00EC246C">
              <w:rPr>
                <w:rFonts w:eastAsia="Calibri" w:cs="Times New Roman"/>
              </w:rPr>
              <w:t>Menschenrechtsverletzungen heute</w:t>
            </w:r>
          </w:p>
          <w:p w:rsidR="004B616C" w:rsidRPr="00F111A6" w:rsidRDefault="004B616C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Analyse eines stark vereinfachten Verfassungsschemas</w:t>
            </w:r>
          </w:p>
        </w:tc>
      </w:tr>
      <w:tr w:rsidR="00B114B9" w:rsidRPr="00F111A6" w:rsidTr="002A4454">
        <w:tc>
          <w:tcPr>
            <w:tcW w:w="574" w:type="dxa"/>
          </w:tcPr>
          <w:p w:rsidR="00015F52" w:rsidRDefault="00015F52" w:rsidP="00C46EF4">
            <w:pPr>
              <w:spacing w:before="120" w:after="120" w:line="240" w:lineRule="auto"/>
              <w:jc w:val="center"/>
            </w:pPr>
            <w:r>
              <w:lastRenderedPageBreak/>
              <w:t>4.</w:t>
            </w:r>
          </w:p>
          <w:p w:rsidR="000B3501" w:rsidRDefault="000B3501" w:rsidP="00C46EF4">
            <w:pPr>
              <w:spacing w:before="120" w:after="120" w:line="240" w:lineRule="auto"/>
              <w:jc w:val="center"/>
            </w:pPr>
          </w:p>
        </w:tc>
        <w:tc>
          <w:tcPr>
            <w:tcW w:w="3078" w:type="dxa"/>
            <w:shd w:val="clear" w:color="auto" w:fill="auto"/>
          </w:tcPr>
          <w:p w:rsidR="00015F52" w:rsidRPr="00F111A6" w:rsidRDefault="00015F52" w:rsidP="00C46EF4">
            <w:pPr>
              <w:pStyle w:val="BPIKTeilkompetenzBeschreibung"/>
              <w:spacing w:before="120" w:after="12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11A6">
              <w:rPr>
                <w:rFonts w:asciiTheme="minorHAnsi" w:hAnsiTheme="minorHAnsi"/>
                <w:sz w:val="22"/>
                <w:szCs w:val="22"/>
              </w:rPr>
              <w:t>den Sturz des Ancien Régime durch die Französische Revolution als Umbruch analysieren</w:t>
            </w:r>
            <w:r w:rsidRPr="00F111A6" w:rsidDel="003152E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15F52" w:rsidRPr="00F111A6" w:rsidRDefault="00015F52" w:rsidP="00C46EF4">
            <w:pPr>
              <w:spacing w:before="120" w:after="120" w:line="240" w:lineRule="auto"/>
              <w:rPr>
                <w:rFonts w:eastAsia="Calibri" w:cs="Times New Roman"/>
              </w:rPr>
            </w:pPr>
            <w:r w:rsidRPr="00F111A6">
              <w:t>(Wahlrecht: Zensusw</w:t>
            </w:r>
            <w:r w:rsidR="00821A1A">
              <w:t>ahlrecht, allgemeines Wahlrecht</w:t>
            </w:r>
            <w:r w:rsidRPr="00F111A6">
              <w:t>)</w:t>
            </w:r>
          </w:p>
          <w:p w:rsidR="00267D08" w:rsidRPr="00F111A6" w:rsidRDefault="00267D08" w:rsidP="00C46EF4">
            <w:pPr>
              <w:pStyle w:val="BPIKTeilkompetenzBeschreibung"/>
              <w:spacing w:before="120" w:after="12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 1: die historische Bedingtheit der Gegenwart sowie Unterschiede und Gemeinsamkeiten zwischen Vergangenheit und Gegenwart analysieren und bewerten</w:t>
            </w:r>
          </w:p>
        </w:tc>
        <w:tc>
          <w:tcPr>
            <w:tcW w:w="2410" w:type="dxa"/>
            <w:shd w:val="clear" w:color="auto" w:fill="auto"/>
          </w:tcPr>
          <w:p w:rsidR="00015F52" w:rsidRDefault="003270C1" w:rsidP="00C46EF4">
            <w:p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4. </w:t>
            </w:r>
            <w:r w:rsidR="00FF0227">
              <w:rPr>
                <w:rFonts w:eastAsia="Calibri" w:cs="Times New Roman"/>
              </w:rPr>
              <w:t xml:space="preserve">Das Wahlrecht in der Diskussion: </w:t>
            </w:r>
            <w:r w:rsidR="00015F52">
              <w:rPr>
                <w:rFonts w:eastAsia="Calibri" w:cs="Times New Roman"/>
              </w:rPr>
              <w:t xml:space="preserve">Warum </w:t>
            </w:r>
            <w:r w:rsidR="00C46EF4">
              <w:rPr>
                <w:rFonts w:eastAsia="Calibri" w:cs="Times New Roman"/>
              </w:rPr>
              <w:t>dürfen nicht alle wählen?</w:t>
            </w:r>
            <w:r w:rsidR="00015F52">
              <w:rPr>
                <w:rFonts w:eastAsia="Calibri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FF0227" w:rsidRDefault="00FF0227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 xml:space="preserve">Verfassung von 1791: </w:t>
            </w:r>
            <w:r w:rsidR="002C193A">
              <w:rPr>
                <w:rFonts w:eastAsia="Calibri" w:cs="Times New Roman"/>
                <w:lang w:eastAsia="de-DE"/>
              </w:rPr>
              <w:t xml:space="preserve">Unterscheidung zwischen </w:t>
            </w:r>
            <w:r>
              <w:rPr>
                <w:rFonts w:eastAsia="Calibri" w:cs="Times New Roman"/>
                <w:lang w:eastAsia="de-DE"/>
              </w:rPr>
              <w:t>Aktivbürger - Passivbürger</w:t>
            </w:r>
          </w:p>
          <w:p w:rsidR="00FF0227" w:rsidRDefault="00FF0227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Argumente für und gegen das Zensuswahlrecht</w:t>
            </w:r>
          </w:p>
          <w:p w:rsidR="00015F52" w:rsidRDefault="00015F52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Einfluss des Bildungsbürgertums</w:t>
            </w:r>
          </w:p>
          <w:p w:rsidR="00267D08" w:rsidRDefault="00267D08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Beurteilung des heutigen Wahlrechts in historischer Perspektive</w:t>
            </w:r>
          </w:p>
        </w:tc>
        <w:tc>
          <w:tcPr>
            <w:tcW w:w="4394" w:type="dxa"/>
            <w:shd w:val="clear" w:color="auto" w:fill="auto"/>
          </w:tcPr>
          <w:p w:rsidR="00015F52" w:rsidRDefault="00015F52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Zensuswahlrecht </w:t>
            </w:r>
            <w:r w:rsidR="00821A1A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Lebensweltbezug</w:t>
            </w:r>
            <w:r w:rsidR="00821A1A">
              <w:rPr>
                <w:rFonts w:eastAsia="Calibri" w:cs="Times New Roman"/>
              </w:rPr>
              <w:t xml:space="preserve"> (Klassenkassenbeitrag…)</w:t>
            </w:r>
          </w:p>
          <w:p w:rsidR="00153BBD" w:rsidRDefault="00153BBD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Rollenspiel zur Diskussion über das Wahlrecht in der Nationalversammlung</w:t>
            </w:r>
          </w:p>
          <w:p w:rsidR="002C193A" w:rsidRDefault="002C193A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Quellenanalyse: Rede Robespierres gegen das Zensuswahlrecht vor der Nationalversammlung 1791</w:t>
            </w:r>
          </w:p>
          <w:p w:rsidR="002C193A" w:rsidRDefault="002C193A" w:rsidP="002C193A">
            <w:pPr>
              <w:pStyle w:val="Listenabsatz"/>
              <w:spacing w:before="120" w:after="120" w:line="240" w:lineRule="auto"/>
              <w:ind w:left="360"/>
              <w:rPr>
                <w:rFonts w:eastAsia="Calibri" w:cs="Times New Roman"/>
              </w:rPr>
            </w:pPr>
          </w:p>
        </w:tc>
      </w:tr>
      <w:tr w:rsidR="00B114B9" w:rsidRPr="00F111A6" w:rsidTr="002A4454">
        <w:tc>
          <w:tcPr>
            <w:tcW w:w="574" w:type="dxa"/>
          </w:tcPr>
          <w:p w:rsidR="00153EC5" w:rsidRDefault="00821A1A" w:rsidP="00C46EF4">
            <w:pPr>
              <w:spacing w:before="120" w:after="120" w:line="240" w:lineRule="auto"/>
              <w:jc w:val="center"/>
            </w:pPr>
            <w:r>
              <w:t>5</w:t>
            </w:r>
            <w:r w:rsidR="00153EC5">
              <w:t>.</w:t>
            </w:r>
          </w:p>
          <w:p w:rsidR="000B3501" w:rsidRDefault="000B3501" w:rsidP="00C46EF4">
            <w:pPr>
              <w:spacing w:before="120" w:after="120" w:line="240" w:lineRule="auto"/>
              <w:jc w:val="center"/>
            </w:pPr>
          </w:p>
          <w:p w:rsidR="000B3501" w:rsidRPr="00F111A6" w:rsidRDefault="000B3501" w:rsidP="00C46EF4">
            <w:pPr>
              <w:spacing w:before="120" w:after="120" w:line="240" w:lineRule="auto"/>
              <w:jc w:val="center"/>
            </w:pPr>
          </w:p>
        </w:tc>
        <w:tc>
          <w:tcPr>
            <w:tcW w:w="3078" w:type="dxa"/>
            <w:shd w:val="clear" w:color="auto" w:fill="auto"/>
          </w:tcPr>
          <w:p w:rsidR="00153EC5" w:rsidRPr="00F111A6" w:rsidRDefault="00153EC5" w:rsidP="00C46EF4">
            <w:pPr>
              <w:pStyle w:val="BPIKTeilkompetenzBeschreibung"/>
              <w:spacing w:before="120" w:after="12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11A6">
              <w:rPr>
                <w:rFonts w:asciiTheme="minorHAnsi" w:hAnsiTheme="minorHAnsi"/>
                <w:sz w:val="22"/>
                <w:szCs w:val="22"/>
              </w:rPr>
              <w:t>den Sturz des Ancien Régime durch die Französische Revolution als Umbruch analysieren</w:t>
            </w:r>
            <w:r w:rsidRPr="00F111A6" w:rsidDel="003152E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53EC5" w:rsidRPr="00F111A6" w:rsidRDefault="00153EC5" w:rsidP="00C46EF4">
            <w:pPr>
              <w:spacing w:before="120" w:after="120" w:line="240" w:lineRule="auto"/>
              <w:rPr>
                <w:rFonts w:eastAsia="Calibri" w:cs="Times New Roman"/>
              </w:rPr>
            </w:pPr>
            <w:r w:rsidRPr="00F111A6">
              <w:t>(</w:t>
            </w:r>
            <w:r w:rsidR="00821A1A">
              <w:t>K</w:t>
            </w:r>
            <w:r w:rsidRPr="00F111A6">
              <w:t>onstitutionelle Monarchie, Republik)</w:t>
            </w:r>
          </w:p>
          <w:p w:rsidR="00153EC5" w:rsidRPr="00F111A6" w:rsidRDefault="00153BBD" w:rsidP="00B114B9">
            <w:pPr>
              <w:pStyle w:val="BPIKTeilkompetenzBeschreibung"/>
              <w:spacing w:before="120" w:after="12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R</w:t>
            </w:r>
            <w:r w:rsidR="00153EC5" w:rsidRPr="00F111A6">
              <w:rPr>
                <w:rFonts w:asciiTheme="minorHAnsi" w:eastAsia="Calibri" w:hAnsiTheme="minorHAnsi"/>
                <w:sz w:val="22"/>
                <w:szCs w:val="22"/>
              </w:rPr>
              <w:t>K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B114B9">
              <w:rPr>
                <w:rFonts w:asciiTheme="minorHAnsi" w:eastAsia="Calibri" w:hAnsiTheme="minorHAnsi"/>
                <w:sz w:val="22"/>
                <w:szCs w:val="22"/>
              </w:rPr>
              <w:t>3</w:t>
            </w:r>
            <w:r w:rsidR="00F37F5F">
              <w:rPr>
                <w:rFonts w:asciiTheme="minorHAnsi" w:eastAsia="Calibri" w:hAnsiTheme="minorHAnsi"/>
                <w:sz w:val="22"/>
                <w:szCs w:val="22"/>
              </w:rPr>
              <w:t xml:space="preserve">: </w:t>
            </w:r>
            <w:r w:rsidR="00B114B9">
              <w:rPr>
                <w:rFonts w:asciiTheme="minorHAnsi" w:eastAsia="Calibri" w:hAnsiTheme="minorHAnsi"/>
                <w:sz w:val="22"/>
                <w:szCs w:val="22"/>
              </w:rPr>
              <w:t>Möglichkeiten und Grenzen individuellen und kollektiven Handelns in historischen Situationen erkennen und alternative Handlungsmöglichkeiten erörtern</w:t>
            </w:r>
          </w:p>
        </w:tc>
        <w:tc>
          <w:tcPr>
            <w:tcW w:w="2410" w:type="dxa"/>
            <w:shd w:val="clear" w:color="auto" w:fill="auto"/>
          </w:tcPr>
          <w:p w:rsidR="00153EC5" w:rsidRPr="00F37F5F" w:rsidRDefault="003270C1" w:rsidP="00B114B9">
            <w:p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F37F5F">
              <w:rPr>
                <w:rFonts w:eastAsia="Calibri" w:cs="Times New Roman"/>
              </w:rPr>
              <w:t xml:space="preserve">. </w:t>
            </w:r>
            <w:r w:rsidR="00B114B9">
              <w:rPr>
                <w:rFonts w:eastAsia="Calibri" w:cs="Times New Roman"/>
              </w:rPr>
              <w:t xml:space="preserve">Wie verhält sich der König? </w:t>
            </w:r>
            <w:r w:rsidR="00F37F5F">
              <w:rPr>
                <w:rFonts w:eastAsia="Calibri" w:cs="Times New Roman"/>
              </w:rPr>
              <w:t xml:space="preserve">Von der </w:t>
            </w:r>
            <w:r w:rsidR="00035C92">
              <w:rPr>
                <w:rFonts w:eastAsia="Calibri" w:cs="Times New Roman"/>
              </w:rPr>
              <w:t xml:space="preserve">konstitutionellen </w:t>
            </w:r>
            <w:r w:rsidR="00F37F5F">
              <w:rPr>
                <w:rFonts w:eastAsia="Calibri" w:cs="Times New Roman"/>
              </w:rPr>
              <w:t>Monarchie zur Republik</w:t>
            </w:r>
            <w:r w:rsidR="002C193A">
              <w:rPr>
                <w:rFonts w:eastAsia="Calibri" w:cs="Times New Roman"/>
              </w:rPr>
              <w:t xml:space="preserve"> </w:t>
            </w:r>
            <w:r w:rsidR="00B114B9">
              <w:rPr>
                <w:rFonts w:eastAsia="Calibri" w:cs="Times New Roman"/>
              </w:rPr>
              <w:t>(1789 - 1793)</w:t>
            </w:r>
          </w:p>
        </w:tc>
        <w:tc>
          <w:tcPr>
            <w:tcW w:w="4678" w:type="dxa"/>
            <w:shd w:val="clear" w:color="auto" w:fill="auto"/>
          </w:tcPr>
          <w:p w:rsidR="00035C92" w:rsidRDefault="00035C92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Der König bekennt sich zur Revolution und zur Verfassung</w:t>
            </w:r>
          </w:p>
          <w:p w:rsidR="00821A1A" w:rsidRDefault="00821A1A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Unentschlossenheit und Flucht des Königs mit ihren Folgen (Radikalisierung)</w:t>
            </w:r>
          </w:p>
          <w:p w:rsidR="005D28C1" w:rsidRDefault="005D28C1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Die Hinrichtung Ludwigs XIV. – wirklich notwendig?</w:t>
            </w:r>
          </w:p>
          <w:p w:rsidR="00B114B9" w:rsidRPr="00F111A6" w:rsidRDefault="00B114B9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Die Hinrichtung Ludwigs XVI. als Zeichen eines radikalen Neuanfangs</w:t>
            </w:r>
          </w:p>
        </w:tc>
        <w:tc>
          <w:tcPr>
            <w:tcW w:w="4394" w:type="dxa"/>
            <w:shd w:val="clear" w:color="auto" w:fill="auto"/>
          </w:tcPr>
          <w:p w:rsidR="00FF0227" w:rsidRDefault="00B114B9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Unentschlossenes Verhalten des Königs während der Jahre 1789 - 1793</w:t>
            </w:r>
          </w:p>
          <w:p w:rsidR="00821A1A" w:rsidRDefault="00821A1A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Manifest des Herzogs von Braunschweig</w:t>
            </w:r>
            <w:r w:rsidR="00B114B9">
              <w:rPr>
                <w:rFonts w:eastAsia="Calibri" w:cs="Times New Roman"/>
              </w:rPr>
              <w:t xml:space="preserve"> als „Hochverrat“</w:t>
            </w:r>
          </w:p>
          <w:p w:rsidR="005D28C1" w:rsidRDefault="00B114B9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Rollenspi</w:t>
            </w:r>
            <w:r w:rsidR="005D28C1">
              <w:rPr>
                <w:rFonts w:eastAsia="Calibri" w:cs="Times New Roman"/>
              </w:rPr>
              <w:t>el: Soll der König sterben?</w:t>
            </w:r>
          </w:p>
          <w:p w:rsidR="00B114B9" w:rsidRDefault="00B114B9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Diskussion: Wie würden wir heute handeln?</w:t>
            </w:r>
          </w:p>
          <w:p w:rsidR="00035C92" w:rsidRPr="00F111A6" w:rsidRDefault="00035C92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Karikatur zur „Janusköpfigkeit“ des Königs</w:t>
            </w:r>
          </w:p>
        </w:tc>
      </w:tr>
      <w:tr w:rsidR="00B114B9" w:rsidRPr="00F111A6" w:rsidTr="002A4454">
        <w:tc>
          <w:tcPr>
            <w:tcW w:w="574" w:type="dxa"/>
          </w:tcPr>
          <w:p w:rsidR="00153EC5" w:rsidRDefault="00821A1A" w:rsidP="00C46EF4">
            <w:pPr>
              <w:spacing w:before="120" w:after="120" w:line="240" w:lineRule="auto"/>
              <w:jc w:val="center"/>
            </w:pPr>
            <w:r>
              <w:t>6</w:t>
            </w:r>
            <w:r w:rsidR="00153BBD">
              <w:t>a</w:t>
            </w:r>
            <w:r w:rsidR="00153EC5">
              <w:t xml:space="preserve">. </w:t>
            </w:r>
          </w:p>
          <w:p w:rsidR="000B3501" w:rsidRDefault="000B3501" w:rsidP="00C46EF4">
            <w:pPr>
              <w:spacing w:before="120" w:after="120" w:line="240" w:lineRule="auto"/>
              <w:jc w:val="center"/>
            </w:pPr>
          </w:p>
          <w:p w:rsidR="000B3501" w:rsidRDefault="000B3501" w:rsidP="00C46EF4">
            <w:pPr>
              <w:spacing w:before="120" w:after="120" w:line="240" w:lineRule="auto"/>
              <w:jc w:val="center"/>
            </w:pPr>
          </w:p>
        </w:tc>
        <w:tc>
          <w:tcPr>
            <w:tcW w:w="3078" w:type="dxa"/>
            <w:shd w:val="clear" w:color="auto" w:fill="auto"/>
          </w:tcPr>
          <w:p w:rsidR="00110125" w:rsidRPr="00F111A6" w:rsidRDefault="00110125" w:rsidP="00C46EF4">
            <w:pPr>
              <w:pStyle w:val="BPIKTeilkompetenzBeschreibung"/>
              <w:spacing w:before="120" w:after="12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11A6">
              <w:rPr>
                <w:rFonts w:asciiTheme="minorHAnsi" w:hAnsiTheme="minorHAnsi"/>
                <w:sz w:val="22"/>
                <w:szCs w:val="22"/>
              </w:rPr>
              <w:lastRenderedPageBreak/>
              <w:t>die Bedeutung der Französischen Revolution für die Ge</w:t>
            </w:r>
            <w:r w:rsidRPr="00F111A6">
              <w:rPr>
                <w:rFonts w:asciiTheme="minorHAnsi" w:hAnsiTheme="minorHAnsi"/>
                <w:sz w:val="22"/>
                <w:szCs w:val="22"/>
              </w:rPr>
              <w:lastRenderedPageBreak/>
              <w:t>genwart erläutern und bewerten</w:t>
            </w:r>
          </w:p>
          <w:p w:rsidR="00110125" w:rsidRDefault="00110125" w:rsidP="00C46EF4">
            <w:pPr>
              <w:spacing w:before="120" w:after="120" w:line="240" w:lineRule="auto"/>
            </w:pPr>
            <w:r w:rsidRPr="00F111A6">
              <w:t>(</w:t>
            </w:r>
            <w:r w:rsidR="00153BBD">
              <w:t>Freiheit, Gleichheit, Nation</w:t>
            </w:r>
            <w:r w:rsidRPr="00F111A6">
              <w:t>)</w:t>
            </w:r>
          </w:p>
          <w:p w:rsidR="00153EC5" w:rsidRPr="00F111A6" w:rsidRDefault="00153BBD" w:rsidP="00C46EF4">
            <w:pPr>
              <w:spacing w:before="120" w:after="120" w:line="240" w:lineRule="auto"/>
            </w:pPr>
            <w:r>
              <w:rPr>
                <w:rFonts w:eastAsia="Calibri" w:cs="Times New Roman"/>
              </w:rPr>
              <w:t>OK 2: das kollektive Gedächtnis, insbesondere unterschiedliche Geschichtsbilder, analysieren und bewerten, auch unter Berücksichtigung ihrer medialen Darstellung</w:t>
            </w:r>
          </w:p>
        </w:tc>
        <w:tc>
          <w:tcPr>
            <w:tcW w:w="2410" w:type="dxa"/>
            <w:shd w:val="clear" w:color="auto" w:fill="auto"/>
          </w:tcPr>
          <w:p w:rsidR="00821A1A" w:rsidRPr="00110125" w:rsidRDefault="003270C1" w:rsidP="00C46EF4">
            <w:p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6. </w:t>
            </w:r>
            <w:r w:rsidR="00821A1A">
              <w:rPr>
                <w:rFonts w:eastAsia="Calibri" w:cs="Times New Roman"/>
              </w:rPr>
              <w:t>a) 1789 als Geburtsstunde des National</w:t>
            </w:r>
            <w:r w:rsidR="00153BBD">
              <w:rPr>
                <w:rFonts w:eastAsia="Calibri" w:cs="Times New Roman"/>
              </w:rPr>
              <w:lastRenderedPageBreak/>
              <w:t>staates</w:t>
            </w:r>
          </w:p>
        </w:tc>
        <w:tc>
          <w:tcPr>
            <w:tcW w:w="4678" w:type="dxa"/>
            <w:shd w:val="clear" w:color="auto" w:fill="auto"/>
          </w:tcPr>
          <w:p w:rsidR="00821A1A" w:rsidRDefault="002C193A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lastRenderedPageBreak/>
              <w:t xml:space="preserve">Welche Bedeutung hat der Begriff </w:t>
            </w:r>
            <w:r w:rsidRPr="002C193A">
              <w:rPr>
                <w:rFonts w:eastAsia="Calibri" w:cs="Times New Roman"/>
                <w:i/>
                <w:lang w:eastAsia="de-DE"/>
              </w:rPr>
              <w:t>Nation</w:t>
            </w:r>
            <w:r>
              <w:rPr>
                <w:rFonts w:eastAsia="Calibri" w:cs="Times New Roman"/>
                <w:lang w:eastAsia="de-DE"/>
              </w:rPr>
              <w:t>? Entwicklung eines ersten Verständnisses</w:t>
            </w:r>
          </w:p>
          <w:p w:rsidR="00153BBD" w:rsidRDefault="00153BBD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lastRenderedPageBreak/>
              <w:t>Entstehung des Begriffes im Kontext der Revolutionskriege</w:t>
            </w:r>
          </w:p>
          <w:p w:rsidR="002C193A" w:rsidRPr="00974AD8" w:rsidRDefault="002C193A" w:rsidP="00974AD8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Ambivalenz des Begriffs (vgl. Nationalismus)</w:t>
            </w:r>
          </w:p>
        </w:tc>
        <w:tc>
          <w:tcPr>
            <w:tcW w:w="4394" w:type="dxa"/>
            <w:shd w:val="clear" w:color="auto" w:fill="auto"/>
          </w:tcPr>
          <w:p w:rsidR="00821A1A" w:rsidRDefault="00821A1A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Annäherung über </w:t>
            </w:r>
            <w:r w:rsidR="00153BBD">
              <w:rPr>
                <w:rFonts w:eastAsia="Calibri" w:cs="Times New Roman"/>
              </w:rPr>
              <w:t>Nationalsymbole</w:t>
            </w:r>
          </w:p>
          <w:p w:rsidR="005D28C1" w:rsidRPr="00153BBD" w:rsidRDefault="002C193A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Verschiedene Aufgaben zur </w:t>
            </w:r>
            <w:r w:rsidR="00153BBD">
              <w:rPr>
                <w:rFonts w:eastAsia="Calibri" w:cs="Times New Roman"/>
              </w:rPr>
              <w:t>Analyse der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lastRenderedPageBreak/>
              <w:t>Marseillaise: Wirkung ankreuzen, kreative Aufgabe, Problematisierung (vgl. Stundenentwurf)</w:t>
            </w:r>
          </w:p>
        </w:tc>
      </w:tr>
      <w:tr w:rsidR="00B114B9" w:rsidRPr="00F111A6" w:rsidTr="00633C88">
        <w:trPr>
          <w:cantSplit/>
          <w:trHeight w:val="1134"/>
        </w:trPr>
        <w:tc>
          <w:tcPr>
            <w:tcW w:w="574" w:type="dxa"/>
          </w:tcPr>
          <w:p w:rsidR="00153BBD" w:rsidRDefault="00153BBD" w:rsidP="00C46EF4">
            <w:pPr>
              <w:spacing w:before="120" w:after="120" w:line="240" w:lineRule="auto"/>
            </w:pPr>
            <w:r>
              <w:lastRenderedPageBreak/>
              <w:t>6b.</w:t>
            </w:r>
          </w:p>
        </w:tc>
        <w:tc>
          <w:tcPr>
            <w:tcW w:w="3078" w:type="dxa"/>
            <w:shd w:val="clear" w:color="auto" w:fill="auto"/>
          </w:tcPr>
          <w:p w:rsidR="00153BBD" w:rsidRDefault="00153BBD" w:rsidP="00C46EF4">
            <w:pPr>
              <w:pStyle w:val="BPIKTeilkompetenzBeschreibung"/>
              <w:spacing w:before="120" w:after="12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11A6">
              <w:rPr>
                <w:rFonts w:asciiTheme="minorHAnsi" w:hAnsiTheme="minorHAnsi"/>
                <w:sz w:val="22"/>
                <w:szCs w:val="22"/>
              </w:rPr>
              <w:t>die Bedeutung der Französischen Revolution für die Gegenwart erläutern und bewerten</w:t>
            </w:r>
          </w:p>
          <w:p w:rsidR="00153BBD" w:rsidRDefault="00153BBD" w:rsidP="00C46EF4">
            <w:pPr>
              <w:pStyle w:val="BPIKTeilkompetenzBeschreibung"/>
              <w:spacing w:before="120" w:after="12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(Freiheit, Gleichheit, Schreckensherrschaft)</w:t>
            </w:r>
          </w:p>
          <w:p w:rsidR="00153BBD" w:rsidRPr="00F111A6" w:rsidRDefault="00157D4C" w:rsidP="00C46EF4">
            <w:pPr>
              <w:pStyle w:val="BPIKTeilkompetenzBeschreibung"/>
              <w:spacing w:before="120" w:after="12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FK 1</w:t>
            </w:r>
            <w:r w:rsidR="00153B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Fragen an die Geschichte formulieren</w:t>
            </w:r>
          </w:p>
        </w:tc>
        <w:tc>
          <w:tcPr>
            <w:tcW w:w="2410" w:type="dxa"/>
            <w:shd w:val="clear" w:color="auto" w:fill="auto"/>
          </w:tcPr>
          <w:p w:rsidR="00153BBD" w:rsidRDefault="00153BBD" w:rsidP="00C46EF4">
            <w:p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 b) Die Revolution wird zur „Schreckensherrschaft“ – warum?</w:t>
            </w:r>
          </w:p>
          <w:p w:rsidR="00153BBD" w:rsidRDefault="00153BBD" w:rsidP="00C46EF4">
            <w:pPr>
              <w:spacing w:before="120" w:after="120" w:line="240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C53C9E" w:rsidRDefault="00C53C9E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 xml:space="preserve">Fakten zur Schreckensherrschaft </w:t>
            </w:r>
          </w:p>
          <w:p w:rsidR="00C53C9E" w:rsidRDefault="00C53C9E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 xml:space="preserve">Versuch einer Rechtfertigung des </w:t>
            </w:r>
            <w:r w:rsidRPr="00C53C9E">
              <w:rPr>
                <w:rFonts w:eastAsia="Calibri" w:cs="Times New Roman"/>
                <w:i/>
                <w:lang w:eastAsia="de-DE"/>
              </w:rPr>
              <w:t>terreurs</w:t>
            </w:r>
            <w:r>
              <w:rPr>
                <w:rFonts w:eastAsia="Calibri" w:cs="Times New Roman"/>
                <w:lang w:eastAsia="de-DE"/>
              </w:rPr>
              <w:t xml:space="preserve"> durch Robespierre</w:t>
            </w:r>
          </w:p>
          <w:p w:rsidR="00C53C9E" w:rsidRDefault="00C53C9E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>Diskussion: Durch Gewalt und Schrecken zu Freiheit und Demokratie?</w:t>
            </w:r>
          </w:p>
          <w:p w:rsidR="00C53C9E" w:rsidRDefault="00C53C9E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  <w:lang w:eastAsia="de-DE"/>
              </w:rPr>
              <w:t xml:space="preserve">Fazit: Bewertung der Französischen </w:t>
            </w:r>
          </w:p>
          <w:p w:rsidR="00153BBD" w:rsidRPr="00F111A6" w:rsidRDefault="00C53C9E" w:rsidP="00974AD8">
            <w:pPr>
              <w:pStyle w:val="Listenabsatz"/>
              <w:spacing w:before="120" w:after="120" w:line="240" w:lineRule="auto"/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eastAsia="de-DE"/>
              </w:rPr>
              <w:t>Revolution</w:t>
            </w:r>
          </w:p>
        </w:tc>
        <w:tc>
          <w:tcPr>
            <w:tcW w:w="4394" w:type="dxa"/>
            <w:shd w:val="clear" w:color="auto" w:fill="auto"/>
          </w:tcPr>
          <w:p w:rsidR="00153BBD" w:rsidRDefault="00C53C9E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Impulse: Ziele der Verfassung von 1793 vs. Zahlen des Terrors (Hinrichtungen) – Ziel: Differenzierte Fragen aufwerfen</w:t>
            </w:r>
          </w:p>
          <w:p w:rsidR="00C53C9E" w:rsidRDefault="00C53C9E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Quellen zu konkreten Urteilen der Revolutionsgerichte</w:t>
            </w:r>
          </w:p>
          <w:p w:rsidR="00153BBD" w:rsidRDefault="00153BBD" w:rsidP="00C46EF4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</w:rPr>
              <w:t>Quellenarbeit „Gesetz über die Verdächtigen“</w:t>
            </w:r>
            <w:r w:rsidR="00C53C9E">
              <w:rPr>
                <w:rFonts w:eastAsia="Calibri" w:cs="Times New Roman"/>
              </w:rPr>
              <w:t xml:space="preserve"> und Rechtfertigung Robespierres  am 05.02.1794</w:t>
            </w:r>
          </w:p>
          <w:p w:rsidR="00C53C9E" w:rsidRPr="00C53C9E" w:rsidRDefault="00C53C9E" w:rsidP="00C53C9E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="Times New Roman"/>
                <w:lang w:eastAsia="de-DE"/>
              </w:rPr>
            </w:pPr>
            <w:r>
              <w:rPr>
                <w:rFonts w:eastAsia="Calibri" w:cs="Times New Roman"/>
              </w:rPr>
              <w:t>Bildimpulse für das Fazit (Menschenrechte, Nation, Schreckensherrschaft)</w:t>
            </w:r>
          </w:p>
        </w:tc>
      </w:tr>
      <w:tr w:rsidR="00B114B9" w:rsidRPr="00F111A6" w:rsidTr="00633C88">
        <w:trPr>
          <w:cantSplit/>
          <w:trHeight w:val="1134"/>
        </w:trPr>
        <w:tc>
          <w:tcPr>
            <w:tcW w:w="574" w:type="dxa"/>
          </w:tcPr>
          <w:p w:rsidR="002A4454" w:rsidRPr="00633C88" w:rsidRDefault="00633C88" w:rsidP="00C46EF4">
            <w:pPr>
              <w:spacing w:before="120" w:after="120" w:line="240" w:lineRule="auto"/>
            </w:pPr>
            <w:r>
              <w:t xml:space="preserve">7. </w:t>
            </w:r>
          </w:p>
        </w:tc>
        <w:tc>
          <w:tcPr>
            <w:tcW w:w="3078" w:type="dxa"/>
            <w:shd w:val="clear" w:color="auto" w:fill="auto"/>
          </w:tcPr>
          <w:p w:rsidR="00F111A6" w:rsidRPr="00F111A6" w:rsidRDefault="00F111A6" w:rsidP="00C46EF4">
            <w:pPr>
              <w:pStyle w:val="BPIKTeilkompetenzBeschreibung"/>
              <w:spacing w:before="120" w:after="12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11A6">
              <w:rPr>
                <w:rFonts w:asciiTheme="minorHAnsi" w:hAnsiTheme="minorHAnsi"/>
                <w:sz w:val="22"/>
                <w:szCs w:val="22"/>
              </w:rPr>
              <w:t>Fenster zur Welt:</w:t>
            </w:r>
          </w:p>
          <w:p w:rsidR="00F111A6" w:rsidRPr="00F111A6" w:rsidRDefault="00F111A6" w:rsidP="00C46EF4">
            <w:pPr>
              <w:pStyle w:val="BPIKTeilkompetenzBeschreibung"/>
              <w:spacing w:before="120" w:after="12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11A6">
              <w:rPr>
                <w:rFonts w:asciiTheme="minorHAnsi" w:hAnsiTheme="minorHAnsi"/>
                <w:sz w:val="22"/>
                <w:szCs w:val="22"/>
              </w:rPr>
              <w:t>die Amerikanische Revolution charakterisieren und ihre Einflüsse auf die Französische Revolution erläutern</w:t>
            </w:r>
          </w:p>
          <w:p w:rsidR="002A4454" w:rsidRPr="00153BBD" w:rsidRDefault="00F111A6" w:rsidP="00C46EF4">
            <w:pPr>
              <w:spacing w:before="120" w:after="120" w:line="240" w:lineRule="auto"/>
            </w:pPr>
            <w:r w:rsidRPr="00F111A6">
              <w:t>(Kolonie: Siedler; Revolution: amerikanische Unabhängigkeitserklärung, Menschen- und Bürgerrechte; Ideentransfer)</w:t>
            </w:r>
          </w:p>
        </w:tc>
        <w:tc>
          <w:tcPr>
            <w:tcW w:w="2410" w:type="dxa"/>
            <w:shd w:val="clear" w:color="auto" w:fill="auto"/>
          </w:tcPr>
          <w:p w:rsidR="002A4454" w:rsidRPr="00110125" w:rsidRDefault="00110125" w:rsidP="00C46EF4">
            <w:pPr>
              <w:spacing w:before="120" w:after="120"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7. Amerika – Vorbild für Frankreich und Europa?</w:t>
            </w:r>
          </w:p>
        </w:tc>
        <w:tc>
          <w:tcPr>
            <w:tcW w:w="4678" w:type="dxa"/>
            <w:shd w:val="clear" w:color="auto" w:fill="auto"/>
          </w:tcPr>
          <w:p w:rsidR="002A4454" w:rsidRPr="00F111A6" w:rsidRDefault="002A4454" w:rsidP="00B114B9">
            <w:pPr>
              <w:pStyle w:val="Listenabsatz"/>
              <w:spacing w:before="120" w:after="120" w:line="240" w:lineRule="auto"/>
              <w:ind w:left="360"/>
              <w:rPr>
                <w:rFonts w:eastAsia="Calibri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4454" w:rsidRPr="00F111A6" w:rsidRDefault="002A4454" w:rsidP="00B114B9">
            <w:pPr>
              <w:pStyle w:val="Listenabsatz"/>
              <w:spacing w:before="120" w:after="120" w:line="240" w:lineRule="auto"/>
              <w:ind w:left="360"/>
              <w:rPr>
                <w:rFonts w:eastAsia="Calibri" w:cs="Times New Roman"/>
                <w:lang w:eastAsia="de-DE"/>
              </w:rPr>
            </w:pPr>
          </w:p>
        </w:tc>
      </w:tr>
    </w:tbl>
    <w:p w:rsidR="00B114B9" w:rsidRDefault="00B114B9" w:rsidP="00B114B9">
      <w:pPr>
        <w:spacing w:after="0" w:line="240" w:lineRule="auto"/>
        <w:rPr>
          <w:rFonts w:eastAsia="Calibri" w:cs="Times New Roman"/>
        </w:rPr>
      </w:pPr>
    </w:p>
    <w:sectPr w:rsidR="00B114B9" w:rsidSect="00F607AF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48" w:rsidRDefault="00963D48" w:rsidP="00821A1A">
      <w:pPr>
        <w:spacing w:after="0" w:line="240" w:lineRule="auto"/>
      </w:pPr>
      <w:r>
        <w:separator/>
      </w:r>
    </w:p>
  </w:endnote>
  <w:endnote w:type="continuationSeparator" w:id="0">
    <w:p w:rsidR="00963D48" w:rsidRDefault="00963D48" w:rsidP="0082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48" w:rsidRDefault="00963D48" w:rsidP="00821A1A">
      <w:pPr>
        <w:spacing w:after="0" w:line="240" w:lineRule="auto"/>
      </w:pPr>
      <w:r>
        <w:separator/>
      </w:r>
    </w:p>
  </w:footnote>
  <w:footnote w:type="continuationSeparator" w:id="0">
    <w:p w:rsidR="00963D48" w:rsidRDefault="00963D48" w:rsidP="0082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CBD"/>
    <w:multiLevelType w:val="multilevel"/>
    <w:tmpl w:val="FDB477A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1" w15:restartNumberingAfterBreak="0">
    <w:nsid w:val="03F91FD7"/>
    <w:multiLevelType w:val="hybridMultilevel"/>
    <w:tmpl w:val="72EC5FB0"/>
    <w:lvl w:ilvl="0" w:tplc="0407000F">
      <w:start w:val="1"/>
      <w:numFmt w:val="decimal"/>
      <w:lvlText w:val="%1."/>
      <w:lvlJc w:val="left"/>
      <w:pPr>
        <w:ind w:left="753" w:hanging="360"/>
      </w:pPr>
    </w:lvl>
    <w:lvl w:ilvl="1" w:tplc="04070019" w:tentative="1">
      <w:start w:val="1"/>
      <w:numFmt w:val="lowerLetter"/>
      <w:lvlText w:val="%2."/>
      <w:lvlJc w:val="left"/>
      <w:pPr>
        <w:ind w:left="1473" w:hanging="360"/>
      </w:pPr>
    </w:lvl>
    <w:lvl w:ilvl="2" w:tplc="0407001B" w:tentative="1">
      <w:start w:val="1"/>
      <w:numFmt w:val="lowerRoman"/>
      <w:lvlText w:val="%3."/>
      <w:lvlJc w:val="right"/>
      <w:pPr>
        <w:ind w:left="2193" w:hanging="180"/>
      </w:pPr>
    </w:lvl>
    <w:lvl w:ilvl="3" w:tplc="0407000F" w:tentative="1">
      <w:start w:val="1"/>
      <w:numFmt w:val="decimal"/>
      <w:lvlText w:val="%4."/>
      <w:lvlJc w:val="left"/>
      <w:pPr>
        <w:ind w:left="2913" w:hanging="360"/>
      </w:pPr>
    </w:lvl>
    <w:lvl w:ilvl="4" w:tplc="04070019" w:tentative="1">
      <w:start w:val="1"/>
      <w:numFmt w:val="lowerLetter"/>
      <w:lvlText w:val="%5."/>
      <w:lvlJc w:val="left"/>
      <w:pPr>
        <w:ind w:left="3633" w:hanging="360"/>
      </w:pPr>
    </w:lvl>
    <w:lvl w:ilvl="5" w:tplc="0407001B" w:tentative="1">
      <w:start w:val="1"/>
      <w:numFmt w:val="lowerRoman"/>
      <w:lvlText w:val="%6."/>
      <w:lvlJc w:val="right"/>
      <w:pPr>
        <w:ind w:left="4353" w:hanging="180"/>
      </w:pPr>
    </w:lvl>
    <w:lvl w:ilvl="6" w:tplc="0407000F" w:tentative="1">
      <w:start w:val="1"/>
      <w:numFmt w:val="decimal"/>
      <w:lvlText w:val="%7."/>
      <w:lvlJc w:val="left"/>
      <w:pPr>
        <w:ind w:left="5073" w:hanging="360"/>
      </w:pPr>
    </w:lvl>
    <w:lvl w:ilvl="7" w:tplc="04070019" w:tentative="1">
      <w:start w:val="1"/>
      <w:numFmt w:val="lowerLetter"/>
      <w:lvlText w:val="%8."/>
      <w:lvlJc w:val="left"/>
      <w:pPr>
        <w:ind w:left="5793" w:hanging="360"/>
      </w:pPr>
    </w:lvl>
    <w:lvl w:ilvl="8" w:tplc="040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B24268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DD3AFB"/>
    <w:multiLevelType w:val="hybridMultilevel"/>
    <w:tmpl w:val="26921F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EADDE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048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551D47"/>
    <w:multiLevelType w:val="hybridMultilevel"/>
    <w:tmpl w:val="A91C46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10663B"/>
    <w:multiLevelType w:val="hybridMultilevel"/>
    <w:tmpl w:val="87B463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6099A"/>
    <w:multiLevelType w:val="hybridMultilevel"/>
    <w:tmpl w:val="605E76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E07B4"/>
    <w:multiLevelType w:val="hybridMultilevel"/>
    <w:tmpl w:val="546AE644"/>
    <w:lvl w:ilvl="0" w:tplc="D8B2D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652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9F3859"/>
    <w:multiLevelType w:val="hybridMultilevel"/>
    <w:tmpl w:val="DE3C26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27FDE"/>
    <w:multiLevelType w:val="hybridMultilevel"/>
    <w:tmpl w:val="59989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52B88"/>
    <w:multiLevelType w:val="hybridMultilevel"/>
    <w:tmpl w:val="15640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F5A92"/>
    <w:multiLevelType w:val="hybridMultilevel"/>
    <w:tmpl w:val="987AEA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C7307E"/>
    <w:multiLevelType w:val="hybridMultilevel"/>
    <w:tmpl w:val="1E447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819A9"/>
    <w:multiLevelType w:val="singleLevel"/>
    <w:tmpl w:val="7C9C0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16" w15:restartNumberingAfterBreak="0">
    <w:nsid w:val="73B128EA"/>
    <w:multiLevelType w:val="hybridMultilevel"/>
    <w:tmpl w:val="DB26FC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841D4"/>
    <w:multiLevelType w:val="hybridMultilevel"/>
    <w:tmpl w:val="EC9EE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15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55"/>
    <w:rsid w:val="00015F52"/>
    <w:rsid w:val="00035C92"/>
    <w:rsid w:val="0005035A"/>
    <w:rsid w:val="000B3501"/>
    <w:rsid w:val="00110125"/>
    <w:rsid w:val="00141347"/>
    <w:rsid w:val="00153BBD"/>
    <w:rsid w:val="00153EC5"/>
    <w:rsid w:val="00157D4C"/>
    <w:rsid w:val="00190842"/>
    <w:rsid w:val="001F291C"/>
    <w:rsid w:val="00207611"/>
    <w:rsid w:val="00217C55"/>
    <w:rsid w:val="00221D34"/>
    <w:rsid w:val="002352D4"/>
    <w:rsid w:val="00267D08"/>
    <w:rsid w:val="002A4454"/>
    <w:rsid w:val="002C193A"/>
    <w:rsid w:val="002C4711"/>
    <w:rsid w:val="002D3CD4"/>
    <w:rsid w:val="00323C56"/>
    <w:rsid w:val="003270C1"/>
    <w:rsid w:val="00390954"/>
    <w:rsid w:val="003C43C8"/>
    <w:rsid w:val="003E02A5"/>
    <w:rsid w:val="004B616C"/>
    <w:rsid w:val="00515DCF"/>
    <w:rsid w:val="00520A78"/>
    <w:rsid w:val="0058500C"/>
    <w:rsid w:val="005C32B5"/>
    <w:rsid w:val="005D28C1"/>
    <w:rsid w:val="005F3FA6"/>
    <w:rsid w:val="005F7572"/>
    <w:rsid w:val="006077B0"/>
    <w:rsid w:val="00633C88"/>
    <w:rsid w:val="00644F10"/>
    <w:rsid w:val="006A41DE"/>
    <w:rsid w:val="006A53C9"/>
    <w:rsid w:val="006B0D06"/>
    <w:rsid w:val="006D29A3"/>
    <w:rsid w:val="00721D75"/>
    <w:rsid w:val="007F344E"/>
    <w:rsid w:val="00821A1A"/>
    <w:rsid w:val="00842ADC"/>
    <w:rsid w:val="008B3A61"/>
    <w:rsid w:val="009278A4"/>
    <w:rsid w:val="00963D48"/>
    <w:rsid w:val="00974AD8"/>
    <w:rsid w:val="009E5EA0"/>
    <w:rsid w:val="00A87605"/>
    <w:rsid w:val="00B114B9"/>
    <w:rsid w:val="00B664F4"/>
    <w:rsid w:val="00B803D7"/>
    <w:rsid w:val="00BC3BAC"/>
    <w:rsid w:val="00BF3184"/>
    <w:rsid w:val="00C04747"/>
    <w:rsid w:val="00C46EF4"/>
    <w:rsid w:val="00C53C9E"/>
    <w:rsid w:val="00C63526"/>
    <w:rsid w:val="00C73A36"/>
    <w:rsid w:val="00C906BD"/>
    <w:rsid w:val="00C9533D"/>
    <w:rsid w:val="00D0198C"/>
    <w:rsid w:val="00D0359B"/>
    <w:rsid w:val="00D61812"/>
    <w:rsid w:val="00D84E8E"/>
    <w:rsid w:val="00D86ABD"/>
    <w:rsid w:val="00DA27C4"/>
    <w:rsid w:val="00DC5245"/>
    <w:rsid w:val="00DC5C99"/>
    <w:rsid w:val="00E171D0"/>
    <w:rsid w:val="00E76EB6"/>
    <w:rsid w:val="00EC246C"/>
    <w:rsid w:val="00EE1D58"/>
    <w:rsid w:val="00F111A6"/>
    <w:rsid w:val="00F37F5F"/>
    <w:rsid w:val="00F56A6A"/>
    <w:rsid w:val="00F607AF"/>
    <w:rsid w:val="00FB0F48"/>
    <w:rsid w:val="00FC304D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F315"/>
  <w15:docId w15:val="{17A44E8B-7BBA-40A3-B183-751BE182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035A"/>
    <w:pPr>
      <w:ind w:left="720"/>
      <w:contextualSpacing/>
    </w:pPr>
  </w:style>
  <w:style w:type="paragraph" w:customStyle="1" w:styleId="BPIKTeilkompetenzBeschreibung">
    <w:name w:val="BP_IK_Teilkompetenz_Beschreibung"/>
    <w:basedOn w:val="Standard"/>
    <w:qFormat/>
    <w:rsid w:val="00A87605"/>
    <w:pPr>
      <w:tabs>
        <w:tab w:val="right" w:pos="357"/>
      </w:tabs>
      <w:spacing w:after="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D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E1D58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EE1D58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3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E1D58"/>
    <w:rPr>
      <w:rFonts w:ascii="Arial" w:eastAsia="Times New Roman" w:hAnsi="Arial" w:cs="Times New Roman"/>
      <w:snapToGrid w:val="0"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2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A1A"/>
  </w:style>
  <w:style w:type="paragraph" w:styleId="Fuzeile">
    <w:name w:val="footer"/>
    <w:basedOn w:val="Standard"/>
    <w:link w:val="FuzeileZchn"/>
    <w:uiPriority w:val="99"/>
    <w:unhideWhenUsed/>
    <w:rsid w:val="0082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6ECB-4A69-4F7A-B138-F98A836C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Stefan Schipperges</cp:lastModifiedBy>
  <cp:revision>4</cp:revision>
  <cp:lastPrinted>2015-12-31T09:58:00Z</cp:lastPrinted>
  <dcterms:created xsi:type="dcterms:W3CDTF">2015-12-13T16:35:00Z</dcterms:created>
  <dcterms:modified xsi:type="dcterms:W3CDTF">2015-12-31T10:04:00Z</dcterms:modified>
</cp:coreProperties>
</file>