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before="0" w:after="0" w:beforeAutospacing="0" w:afterAutospacing="0"/>
        <w:rPr>
          <w:rFonts w:ascii="Calibri" w:hAnsi="Calibri"/>
          <w:sz w:val="24"/>
          <w:szCs w:val="24"/>
        </w:rPr>
      </w:pPr>
      <w:r>
        <w:rPr>
          <w:rFonts w:ascii="Calibri" w:hAnsi="Calibri"/>
          <w:sz w:val="24"/>
          <w:szCs w:val="24"/>
        </w:rPr>
        <w:t>Materialpool 3.3.2 BRD und DDR – zwei Staaten, zwei Systeme in der geteilten Welt</w:t>
      </w:r>
    </w:p>
    <w:p>
      <w:pPr>
        <w:pStyle w:val="para1"/>
        <w:spacing w:before="0" w:after="0" w:beforeAutospacing="0" w:afterAutospacing="0"/>
        <w:rPr>
          <w:rFonts w:ascii="Calibri" w:hAnsi="Calibri"/>
          <w:sz w:val="24"/>
          <w:szCs w:val="24"/>
        </w:rPr>
      </w:pPr>
      <w:r>
        <w:rPr>
          <w:rFonts w:ascii="Calibri" w:hAnsi="Calibri"/>
          <w:sz w:val="24"/>
          <w:szCs w:val="24"/>
        </w:rPr>
        <w:t xml:space="preserve">4) Fenster zur Welt: den Nahost-Konflikt im Kontext der Dekolonisierung erläutern und bewerten (Dekolonisierung, Shoah, UN-Teilungsplan, Palästina, Israel) </w:t>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t>Hinweis zu den Materialien:</w:t>
      </w:r>
    </w:p>
    <w:p>
      <w:pPr>
        <w:pStyle w:val="para1"/>
        <w:spacing w:before="0" w:after="0" w:beforeAutospacing="0" w:afterAutospacing="0"/>
        <w:rPr>
          <w:rFonts w:ascii="Calibri" w:hAnsi="Calibri"/>
          <w:b w:val="0"/>
          <w:sz w:val="24"/>
          <w:szCs w:val="24"/>
        </w:rPr>
      </w:pPr>
      <w:r>
        <w:rPr>
          <w:rFonts w:ascii="Calibri" w:hAnsi="Calibri"/>
          <w:b w:val="0"/>
          <w:sz w:val="24"/>
          <w:szCs w:val="24"/>
        </w:rPr>
        <w:t xml:space="preserve">M1  Briefwechsel zwischen Hussein ibn Ali, Sherif von Mekka, (Emir der Hedschas  (westliches Saudi-Arabien) und Sir </w:t>
      </w:r>
      <w:hyperlink r:id="rId8" w:history="1">
        <w:r>
          <w:rPr>
            <w:rStyle w:val="char2"/>
            <w:rFonts w:ascii="Calibri" w:hAnsi="Calibri"/>
            <w:b w:val="0"/>
            <w:color w:val="auto"/>
            <w:sz w:val="24"/>
            <w:szCs w:val="24"/>
            <w:u w:color="auto" w:val="none"/>
          </w:rPr>
          <w:t xml:space="preserve">Henry </w:t>
        </w:r>
        <w:r>
          <w:rPr>
            <w:rStyle w:val="char2"/>
            <w:rFonts w:ascii="Calibri" w:hAnsi="Calibri"/>
            <w:b w:val="0"/>
            <w:color w:val="auto"/>
            <w:sz w:val="24"/>
            <w:szCs w:val="24"/>
            <w:u w:color="auto" w:val="none"/>
          </w:rPr>
          <w:t>McMahon</w:t>
        </w:r>
      </w:hyperlink>
      <w:r>
        <w:rPr>
          <w:rFonts w:ascii="Calibri" w:hAnsi="Calibri"/>
          <w:b w:val="0"/>
          <w:sz w:val="24"/>
          <w:szCs w:val="24"/>
        </w:rPr>
        <w:t xml:space="preserve">, Britischer Hochkommissar in </w:t>
      </w:r>
      <w:hyperlink r:id="rId9" w:history="1">
        <w:r>
          <w:rPr>
            <w:rStyle w:val="char2"/>
            <w:rFonts w:ascii="Calibri" w:hAnsi="Calibri"/>
            <w:b w:val="0"/>
            <w:color w:val="auto"/>
            <w:sz w:val="24"/>
            <w:szCs w:val="24"/>
            <w:u w:color="auto" w:val="none"/>
          </w:rPr>
          <w:t>Ägypten</w:t>
        </w:r>
      </w:hyperlink>
      <w:r>
        <w:rPr>
          <w:rStyle w:val="char2"/>
          <w:rFonts w:ascii="Calibri" w:hAnsi="Calibri"/>
          <w:b w:val="0"/>
          <w:color w:val="auto"/>
          <w:sz w:val="24"/>
          <w:szCs w:val="24"/>
          <w:u w:color="auto" w:val="none"/>
        </w:rPr>
        <w:t>,</w:t>
      </w:r>
      <w:r>
        <w:rPr>
          <w:rFonts w:ascii="Calibri" w:hAnsi="Calibri"/>
          <w:b w:val="0"/>
          <w:sz w:val="24"/>
          <w:szCs w:val="24"/>
        </w:rPr>
        <w:t xml:space="preserve"> in den Jahren 1915–1916. </w:t>
      </w:r>
      <w:r>
        <w:rPr>
          <w:rFonts w:ascii="Calibri" w:hAnsi="Calibri"/>
          <w:b w:val="0"/>
          <w:sz w:val="24"/>
          <w:szCs w:val="24"/>
        </w:rPr>
        <w:t>Inhalt des Briefwechsels: Aufstand der arabischen Stämme gegen das osmanische Reich und zukünftiges Herrschaftsgebiet der arabischen Stämme.</w:t>
      </w:r>
      <w:r>
        <w:rPr>
          <w:rFonts w:ascii="Calibri" w:hAnsi="Calibri"/>
          <w:b w:val="0"/>
          <w:sz w:val="24"/>
          <w:szCs w:val="24"/>
        </w:rPr>
      </w:r>
    </w:p>
    <w:p>
      <w:pPr>
        <w:pStyle w:val="para1"/>
        <w:spacing w:before="0" w:after="0" w:beforeAutospacing="0" w:afterAutospacing="0"/>
        <w:rPr>
          <w:rFonts w:ascii="Calibri" w:hAnsi="Calibri"/>
          <w:b w:val="0"/>
          <w:sz w:val="24"/>
          <w:szCs w:val="24"/>
        </w:rPr>
      </w:pPr>
      <w:r>
        <w:rPr>
          <w:rFonts w:ascii="Calibri" w:hAnsi="Calibri"/>
          <w:b w:val="0"/>
          <w:sz w:val="24"/>
          <w:szCs w:val="24"/>
        </w:rPr>
        <w:t>M2  Karte auf der Grundlage der Hussein-McMahon-Korrespondenz</w:t>
      </w:r>
    </w:p>
    <w:p>
      <w:pPr>
        <w:pStyle w:val="para1"/>
        <w:spacing w:before="0" w:after="0" w:beforeAutospacing="0" w:afterAutospacing="0"/>
        <w:rPr>
          <w:rFonts w:ascii="Calibri" w:hAnsi="Calibri"/>
          <w:b w:val="0"/>
          <w:sz w:val="24"/>
          <w:szCs w:val="24"/>
        </w:rPr>
      </w:pPr>
      <w:r>
        <w:rPr>
          <w:rFonts w:ascii="Calibri" w:hAnsi="Calibri"/>
          <w:b w:val="0"/>
          <w:sz w:val="24"/>
          <w:szCs w:val="24"/>
        </w:rPr>
        <w:t>M3/M4 Sykes-Picot Abkommen 1916: Geheimabkommen zwischen Großbritannien und Frankreich zur Aufteilung der Interessensgebiete im Nahen Osten</w:t>
      </w:r>
    </w:p>
    <w:p>
      <w:pPr>
        <w:pStyle w:val="para1"/>
        <w:spacing w:before="0" w:after="0" w:beforeAutospacing="0" w:afterAutospacing="0"/>
        <w:rPr>
          <w:rFonts w:ascii="Calibri" w:hAnsi="Calibri"/>
          <w:b w:val="0"/>
          <w:sz w:val="24"/>
          <w:szCs w:val="24"/>
        </w:rPr>
      </w:pPr>
      <w:r>
        <w:rPr>
          <w:rFonts w:ascii="Calibri" w:hAnsi="Calibri"/>
          <w:b w:val="0"/>
          <w:sz w:val="24"/>
          <w:szCs w:val="24"/>
        </w:rPr>
        <w:t>M5 Balfour-Erklärung 1917: Sympathieerklärung des britischen Außenministers für die zionistische Bewegung</w:t>
      </w:r>
    </w:p>
    <w:p>
      <w:pPr>
        <w:spacing w:after="0" w:line="240" w:lineRule="auto"/>
        <w:jc w:val="both"/>
        <w:rPr>
          <w:b/>
          <w:sz w:val="24"/>
          <w:szCs w:val="24"/>
        </w:rPr>
      </w:pPr>
      <w:r>
        <w:rPr>
          <w:sz w:val="24"/>
          <w:szCs w:val="24"/>
        </w:rPr>
        <w:t>M6/M7 Völkerbundmandat für Großbritannien über Palästina 1920</w:t>
      </w:r>
      <w:r>
        <w:rPr>
          <w:b/>
          <w:sz w:val="24"/>
          <w:szCs w:val="24"/>
        </w:rPr>
      </w:r>
    </w:p>
    <w:p>
      <w:pPr>
        <w:pStyle w:val="para1"/>
        <w:spacing w:before="0" w:after="0" w:beforeAutospacing="0" w:afterAutospacing="0"/>
        <w:rPr>
          <w:rFonts w:ascii="Calibri" w:hAnsi="Calibri"/>
          <w:b w:val="0"/>
          <w:sz w:val="24"/>
          <w:szCs w:val="24"/>
        </w:rPr>
      </w:pPr>
      <w:r>
        <w:rPr>
          <w:rFonts w:ascii="Calibri" w:hAnsi="Calibri"/>
          <w:b w:val="0"/>
          <w:sz w:val="24"/>
          <w:szCs w:val="24"/>
        </w:rPr>
        <w:t>M8/M9 Teilungsbeschluss der UN für Palästina 1947</w:t>
      </w:r>
    </w:p>
    <w:p>
      <w:pPr>
        <w:pStyle w:val="para1"/>
        <w:spacing w:before="0" w:after="0" w:beforeAutospacing="0" w:afterAutospacing="0"/>
        <w:rPr>
          <w:rFonts w:ascii="Calibri" w:hAnsi="Calibri"/>
          <w:b w:val="0"/>
          <w:sz w:val="24"/>
          <w:szCs w:val="24"/>
        </w:rPr>
      </w:pPr>
      <w:r>
        <w:rPr>
          <w:rFonts w:ascii="Calibri" w:hAnsi="Calibri"/>
          <w:b w:val="0"/>
          <w:sz w:val="24"/>
          <w:szCs w:val="24"/>
        </w:rPr>
        <w:t>M10 Auszug aus der Proklamationsurkunde des Staates Israel</w:t>
      </w:r>
    </w:p>
    <w:p>
      <w:pPr>
        <w:pStyle w:val="para1"/>
        <w:spacing w:before="0" w:after="0" w:beforeAutospacing="0" w:afterAutospacing="0"/>
        <w:rPr>
          <w:rFonts w:ascii="Calibri" w:hAnsi="Calibri"/>
          <w:b w:val="0"/>
          <w:sz w:val="24"/>
          <w:szCs w:val="24"/>
        </w:rPr>
      </w:pPr>
      <w:r>
        <w:rPr>
          <w:rFonts w:ascii="Calibri" w:hAnsi="Calibri"/>
          <w:b w:val="0"/>
          <w:sz w:val="24"/>
          <w:szCs w:val="24"/>
        </w:rPr>
        <w:t>Zusatzmaterialien:</w:t>
      </w:r>
    </w:p>
    <w:p>
      <w:pPr>
        <w:pStyle w:val="para1"/>
        <w:spacing w:before="0" w:after="0" w:beforeAutospacing="0" w:afterAutospacing="0"/>
        <w:rPr>
          <w:rFonts w:ascii="Calibri" w:hAnsi="Calibri"/>
          <w:b w:val="0"/>
          <w:sz w:val="24"/>
          <w:szCs w:val="24"/>
        </w:rPr>
      </w:pPr>
      <w:r>
        <w:rPr>
          <w:rFonts w:ascii="Calibri" w:hAnsi="Calibri"/>
          <w:b w:val="0"/>
          <w:sz w:val="24"/>
          <w:szCs w:val="24"/>
        </w:rPr>
        <w:t>Hinweise zu Karten: Die Welt und der Nahe Osten im 1. Weltkrieg, Israel und Palästina von 1880-1990, Israel und Palästina 1991 bis heute</w:t>
      </w:r>
    </w:p>
    <w:p>
      <w:pPr>
        <w:pStyle w:val="para1"/>
        <w:spacing w:before="0" w:after="0" w:beforeAutospacing="0" w:afterAutospacing="0"/>
        <w:rPr>
          <w:rFonts w:ascii="Calibri" w:hAnsi="Calibri"/>
          <w:b w:val="0"/>
          <w:sz w:val="24"/>
          <w:szCs w:val="24"/>
        </w:rPr>
      </w:pPr>
      <w:r>
        <w:rPr>
          <w:rFonts w:ascii="Calibri" w:hAnsi="Calibri"/>
          <w:b w:val="0"/>
          <w:sz w:val="24"/>
          <w:szCs w:val="24"/>
        </w:rPr>
        <w:t>Resolution 242 des Sicherheitsrates 1967</w:t>
      </w:r>
    </w:p>
    <w:p>
      <w:pPr>
        <w:pStyle w:val="para1"/>
        <w:spacing w:before="0" w:after="0" w:beforeAutospacing="0" w:afterAutospacing="0"/>
        <w:rPr>
          <w:rFonts w:ascii="Calibri" w:hAnsi="Calibri"/>
          <w:b w:val="0"/>
          <w:sz w:val="24"/>
          <w:szCs w:val="24"/>
        </w:rPr>
      </w:pPr>
      <w:r>
        <w:rPr>
          <w:rFonts w:ascii="Calibri" w:hAnsi="Calibri"/>
          <w:b w:val="0"/>
          <w:sz w:val="24"/>
          <w:szCs w:val="24"/>
        </w:rPr>
        <w:t>Palästinensisches Nationalabkommen 1968</w:t>
      </w:r>
    </w:p>
    <w:p>
      <w:pPr>
        <w:pStyle w:val="para1"/>
        <w:spacing w:before="0" w:after="0" w:beforeAutospacing="0" w:afterAutospacing="0"/>
        <w:rPr>
          <w:rFonts w:ascii="Calibri" w:hAnsi="Calibri"/>
          <w:b w:val="0"/>
          <w:sz w:val="24"/>
          <w:szCs w:val="24"/>
        </w:rPr>
      </w:pPr>
      <w:r>
        <w:rPr>
          <w:rFonts w:ascii="Calibri" w:hAnsi="Calibri"/>
          <w:b w:val="0"/>
          <w:sz w:val="24"/>
          <w:szCs w:val="24"/>
        </w:rPr>
        <w:t>Erklärvideos</w:t>
      </w:r>
    </w:p>
    <w:p>
      <w:pPr>
        <w:pStyle w:val="para1"/>
        <w:spacing w:before="0" w:after="0" w:beforeAutospacing="0" w:afterAutospacing="0"/>
        <w:rPr>
          <w:rFonts w:ascii="Calibri" w:hAnsi="Calibri"/>
          <w:b w:val="0"/>
          <w:sz w:val="24"/>
          <w:szCs w:val="24"/>
        </w:rPr>
      </w:pPr>
      <w:r>
        <w:rPr>
          <w:rFonts w:ascii="Calibri" w:hAnsi="Calibri"/>
          <w:b w:val="0"/>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t>M1 Hussein-McMahon- Korrespondenz</w:t>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noProof/>
        </w:rPr>
        <w:drawing>
          <wp:anchor distT="0" distB="0" distL="114300" distR="114300" simplePos="0" relativeHeight="251658242" behindDoc="1" locked="0" layoutInCell="0" hidden="0" allowOverlap="1">
            <wp:simplePos x="0" y="0"/>
            <wp:positionH relativeFrom="column">
              <wp:posOffset>3357880</wp:posOffset>
            </wp:positionH>
            <wp:positionV relativeFrom="paragraph">
              <wp:posOffset>52070</wp:posOffset>
            </wp:positionV>
            <wp:extent cx="2095500" cy="1990725"/>
            <wp:effectExtent l="0" t="0" r="0" b="0"/>
            <wp:wrapTight wrapText="bothSides">
              <wp:wrapPolygon edited="0">
                <wp:start x="-1178" y="434"/>
                <wp:lineTo x="-1178" y="21703"/>
                <wp:lineTo x="22778" y="21703"/>
                <wp:lineTo x="22778" y="434"/>
                <wp:lineTo x="-1178" y="434"/>
              </wp:wrapPolygon>
            </wp:wrapTight>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upload.wikimedia.org/wikipedia/commons/thumb/7/7f/Henry_McMahon_cropped.JPG/220px-Henry_McMahon_cropped.JPG">
                      <a:hlinkClick r:id="rId12"/>
                    </pic:cNvPr>
                    <pic:cNvPicPr>
                      <a:picLocks noChangeAspect="1"/>
                      <a:extLst>
                        <a:ext uri="smNativeData">
                          <sm:smNativeData xmlns:sm="smNativeData" val="SMDATA_14_9lXx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BQAAAAAIwAAAAAAAAAAAAAAAAAAAgAAAKgUAAAAAAAAAgAAAFIAAADkDAAAPwwAAAAAAAAxGgAAwiQAACgAAAAIAAAAAQAAAAEAAAA="/>
                        </a:ext>
                      </a:extLst>
                    </pic:cNvPicPr>
                  </pic:nvPicPr>
                  <pic:blipFill>
                    <a:blip r:embed="rId11"/>
                    <a:stretch>
                      <a:fillRect/>
                    </a:stretch>
                  </pic:blipFill>
                  <pic:spPr>
                    <a:xfrm>
                      <a:off x="0" y="0"/>
                      <a:ext cx="2095500" cy="1990725"/>
                    </a:xfrm>
                    <a:prstGeom prst="rect">
                      <a:avLst/>
                    </a:prstGeom>
                    <a:noFill/>
                    <a:ln w="12700">
                      <a:noFill/>
                    </a:ln>
                  </pic:spPr>
                </pic:pic>
              </a:graphicData>
            </a:graphic>
          </wp:anchor>
        </w:drawing>
      </w:r>
      <w:r>
        <w:rPr>
          <w:noProof/>
        </w:rPr>
        <w:drawing>
          <wp:anchor distT="0" distB="0" distL="114300" distR="114300" simplePos="0" relativeHeight="251658243" behindDoc="1" locked="0" layoutInCell="0" hidden="0" allowOverlap="1">
            <wp:simplePos x="0" y="0"/>
            <wp:positionH relativeFrom="column">
              <wp:posOffset>76200</wp:posOffset>
            </wp:positionH>
            <wp:positionV relativeFrom="paragraph">
              <wp:posOffset>13970</wp:posOffset>
            </wp:positionV>
            <wp:extent cx="1642745" cy="2076450"/>
            <wp:effectExtent l="0" t="0" r="0" b="0"/>
            <wp:wrapTight wrapText="bothSides">
              <wp:wrapPolygon edited="0">
                <wp:start x="-1503" y="436"/>
                <wp:lineTo x="-1503" y="21798"/>
                <wp:lineTo x="23103" y="21798"/>
                <wp:lineTo x="23103" y="436"/>
                <wp:lineTo x="-1503" y="436"/>
              </wp:wrapPolygon>
            </wp:wrapTight>
            <wp:docPr id="3"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https://upload.wikimedia.org/wikipedia/commons/thumb/4/40/Sharif_Husayn_cropped.JPG/220px-Sharif_Husayn_cropped.JPG">
                      <a:hlinkClick r:id="rId15"/>
                    </pic:cNvPr>
                    <pic:cNvPicPr>
                      <a:picLocks noChangeAspect="1"/>
                      <a:extLst>
                        <a:ext uri="smNativeData">
                          <sm:smNativeData xmlns:sm="smNativeData" val="SMDATA_14_9lXx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BQAAAAAIwAAAAAAAAAAAAAAAAAAAgAAAHgAAAAAAAAAAgAAABYAAAAbCgAAxgwAAAAAAAABBgAAhiQAACgAAAAIAAAAAQAAAAEAAAA="/>
                        </a:ext>
                      </a:extLst>
                    </pic:cNvPicPr>
                  </pic:nvPicPr>
                  <pic:blipFill>
                    <a:blip r:embed="rId14"/>
                    <a:stretch>
                      <a:fillRect/>
                    </a:stretch>
                  </pic:blipFill>
                  <pic:spPr>
                    <a:xfrm>
                      <a:off x="0" y="0"/>
                      <a:ext cx="1642745" cy="2076450"/>
                    </a:xfrm>
                    <a:prstGeom prst="rect">
                      <a:avLst/>
                    </a:prstGeom>
                    <a:noFill/>
                    <a:ln w="12700">
                      <a:noFill/>
                    </a:ln>
                  </pic:spPr>
                </pic:pic>
              </a:graphicData>
            </a:graphic>
          </wp:anchor>
        </w:drawing>
      </w: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sz w:val="24"/>
          <w:szCs w:val="24"/>
        </w:rPr>
      </w:pPr>
      <w:r>
        <w:rPr>
          <w:rFonts w:ascii="Calibri" w:hAnsi="Calibri"/>
          <w:sz w:val="24"/>
          <w:szCs w:val="24"/>
        </w:rPr>
      </w:r>
    </w:p>
    <w:p>
      <w:pPr>
        <w:pStyle w:val="para1"/>
        <w:spacing w:before="0" w:after="0" w:beforeAutospacing="0" w:afterAutospacing="0"/>
        <w:rPr>
          <w:rFonts w:ascii="Calibri" w:hAnsi="Calibri"/>
          <w:b w:val="0"/>
          <w:sz w:val="16"/>
          <w:szCs w:val="16"/>
        </w:rPr>
      </w:pPr>
      <w:hyperlink r:id="rId16" w:history="1">
        <w:r>
          <w:rPr>
            <w:rStyle w:val="char2"/>
            <w:rFonts w:ascii="Calibri" w:hAnsi="Calibri"/>
            <w:b w:val="0"/>
            <w:sz w:val="16"/>
            <w:szCs w:val="16"/>
          </w:rPr>
          <w:t>https://commons.wikimedia.org/wiki/File:Sharif_Husayn_cropped.JPG#/media/File:Sharif_Husayn_cropped.JPG</w:t>
        </w:r>
      </w:hyperlink>
    </w:p>
    <w:p>
      <w:pPr>
        <w:rPr>
          <w:sz w:val="16"/>
          <w:szCs w:val="16"/>
        </w:rPr>
      </w:pPr>
      <w:r>
        <w:rPr>
          <w:sz w:val="16"/>
          <w:szCs w:val="16"/>
        </w:rPr>
        <w:t xml:space="preserve"> </w:t>
      </w:r>
      <w:hyperlink r:id="rId17" w:history="1">
        <w:r>
          <w:rPr>
            <w:rStyle w:val="char2"/>
            <w:sz w:val="16"/>
            <w:szCs w:val="16"/>
          </w:rPr>
          <w:t>https://commons.wikimedia.org/w/index.php?curid=46996625</w:t>
        </w:r>
      </w:hyperlink>
    </w:p>
    <w:p>
      <w:pPr>
        <w:pStyle w:val="para1"/>
        <w:spacing w:before="0" w:after="0" w:beforeAutospacing="0" w:afterAutospacing="0"/>
        <w:rPr>
          <w:rFonts w:ascii="Calibri" w:hAnsi="Calibri"/>
          <w:sz w:val="24"/>
          <w:szCs w:val="24"/>
        </w:rPr>
      </w:pPr>
      <w:r>
        <w:rPr>
          <w:rFonts w:ascii="Calibri" w:hAnsi="Calibri"/>
          <w:b w:val="0"/>
          <w:i/>
          <w:sz w:val="24"/>
          <w:szCs w:val="24"/>
        </w:rPr>
        <w:t xml:space="preserve">Die Hussein-McMahon-Korrespondenz bezeichnet einen Briefwechsel zwischen Hussein ibn Ali, Sherif von Mekka, (Emir der Hedschas (westliches Saudi-Arabien) und Sir </w:t>
      </w:r>
      <w:hyperlink r:id="rId8" w:history="1">
        <w:r>
          <w:rPr>
            <w:rStyle w:val="char2"/>
            <w:rFonts w:ascii="Calibri" w:hAnsi="Calibri"/>
            <w:b w:val="0"/>
            <w:i/>
            <w:color w:val="auto"/>
            <w:sz w:val="24"/>
            <w:szCs w:val="24"/>
            <w:u w:color="auto" w:val="none"/>
          </w:rPr>
          <w:t xml:space="preserve">Henry </w:t>
        </w:r>
        <w:r>
          <w:rPr>
            <w:rStyle w:val="char2"/>
            <w:rFonts w:ascii="Calibri" w:hAnsi="Calibri"/>
            <w:b w:val="0"/>
            <w:i/>
            <w:color w:val="auto"/>
            <w:sz w:val="24"/>
            <w:szCs w:val="24"/>
            <w:u w:color="auto" w:val="none"/>
          </w:rPr>
          <w:t>McMahon</w:t>
        </w:r>
      </w:hyperlink>
      <w:r>
        <w:rPr>
          <w:rFonts w:ascii="Calibri" w:hAnsi="Calibri"/>
          <w:b w:val="0"/>
          <w:i/>
          <w:sz w:val="24"/>
          <w:szCs w:val="24"/>
        </w:rPr>
        <w:t xml:space="preserve">, Britischer Hochkommissar in </w:t>
      </w:r>
      <w:hyperlink r:id="rId9" w:history="1">
        <w:r>
          <w:rPr>
            <w:rStyle w:val="char2"/>
            <w:rFonts w:ascii="Calibri" w:hAnsi="Calibri"/>
            <w:b w:val="0"/>
            <w:i/>
            <w:color w:val="auto"/>
            <w:sz w:val="24"/>
            <w:szCs w:val="24"/>
            <w:u w:color="auto" w:val="none"/>
          </w:rPr>
          <w:t>Ägypten</w:t>
        </w:r>
      </w:hyperlink>
      <w:r>
        <w:rPr>
          <w:rStyle w:val="char2"/>
          <w:rFonts w:ascii="Calibri" w:hAnsi="Calibri"/>
          <w:b w:val="0"/>
          <w:i/>
          <w:color w:val="auto"/>
          <w:sz w:val="24"/>
          <w:szCs w:val="24"/>
          <w:u w:color="auto" w:val="none"/>
        </w:rPr>
        <w:t>,</w:t>
      </w:r>
      <w:r>
        <w:rPr>
          <w:rFonts w:ascii="Calibri" w:hAnsi="Calibri"/>
          <w:b w:val="0"/>
          <w:i/>
          <w:sz w:val="24"/>
          <w:szCs w:val="24"/>
        </w:rPr>
        <w:t xml:space="preserve"> in den Jahren 1915–1916. Gegenstand dieses Briefwechsels war einerseits das Bestreben Großbritanniens einen Aufstand der arabischen Stämme gegen das osmanische Reich (Kriegspartner des deutschen Kaiserreiches) anzufachen andererseits die Frage, welche Gebiete</w:t>
      </w:r>
      <w:r>
        <w:rPr>
          <w:rFonts w:ascii="Calibri" w:hAnsi="Calibri"/>
          <w:b w:val="0"/>
          <w:i/>
          <w:sz w:val="24"/>
          <w:szCs w:val="24"/>
        </w:rPr>
        <w:t xml:space="preserve"> im Nahen Osten unter arabische </w:t>
      </w:r>
      <w:r>
        <w:rPr>
          <w:rFonts w:ascii="Calibri" w:hAnsi="Calibri"/>
          <w:b w:val="0"/>
          <w:i/>
          <w:sz w:val="24"/>
          <w:szCs w:val="24"/>
        </w:rPr>
        <w:t>Herrschaft</w:t>
      </w:r>
      <w:r>
        <w:rPr>
          <w:rFonts w:ascii="Calibri" w:hAnsi="Calibri"/>
          <w:b w:val="0"/>
          <w:i/>
          <w:sz w:val="24"/>
          <w:szCs w:val="24"/>
        </w:rPr>
        <w:t xml:space="preserve"> </w:t>
      </w:r>
      <w:r>
        <w:rPr>
          <w:rFonts w:ascii="Calibri" w:hAnsi="Calibri"/>
          <w:b w:val="0"/>
          <w:i/>
          <w:sz w:val="24"/>
          <w:szCs w:val="24"/>
        </w:rPr>
        <w:t xml:space="preserve"> </w:t>
      </w:r>
      <w:r>
        <w:rPr>
          <w:rFonts w:ascii="Calibri" w:hAnsi="Calibri"/>
          <w:b w:val="0"/>
          <w:i/>
          <w:sz w:val="24"/>
          <w:szCs w:val="24"/>
        </w:rPr>
        <w:t>f</w:t>
      </w:r>
      <w:r>
        <w:rPr>
          <w:rFonts w:ascii="Calibri" w:hAnsi="Calibri"/>
          <w:b w:val="0"/>
          <w:i/>
          <w:sz w:val="24"/>
          <w:szCs w:val="24"/>
        </w:rPr>
        <w:t>allen</w:t>
      </w:r>
      <w:r>
        <w:rPr>
          <w:rFonts w:ascii="Calibri" w:hAnsi="Calibri"/>
          <w:b w:val="0"/>
          <w:i/>
          <w:sz w:val="24"/>
          <w:szCs w:val="24"/>
        </w:rPr>
        <w:t xml:space="preserve"> würden</w:t>
      </w:r>
      <w:r>
        <w:rPr>
          <w:rFonts w:ascii="Calibri" w:hAnsi="Calibri"/>
          <w:b w:val="0"/>
          <w:sz w:val="24"/>
          <w:szCs w:val="24"/>
        </w:rPr>
        <w:t>.</w:t>
      </w:r>
      <w:r>
        <w:rPr>
          <w:rFonts w:ascii="Calibri" w:hAnsi="Calibri"/>
          <w:sz w:val="24"/>
          <w:szCs w:val="24"/>
        </w:rPr>
      </w:r>
    </w:p>
    <w:p>
      <w:pPr>
        <w:spacing w:after="0" w:line="240" w:lineRule="auto"/>
        <w:rPr>
          <w:i/>
          <w:sz w:val="24"/>
          <w:szCs w:val="24"/>
        </w:rPr>
      </w:pPr>
      <w:r>
        <w:rPr>
          <w:i/>
          <w:sz w:val="24"/>
          <w:szCs w:val="24"/>
        </w:rPr>
        <w:t>Die Aussagen des folgenden Briefes wurden von arabischer Seite als Zusage aufgefasst:</w:t>
      </w:r>
    </w:p>
    <w:p>
      <w:pPr>
        <w:spacing w:after="0" w:line="240" w:lineRule="auto"/>
        <w:rPr>
          <w:i/>
          <w:sz w:val="24"/>
          <w:szCs w:val="24"/>
        </w:rPr>
      </w:pPr>
      <w:r>
        <w:rPr>
          <w:i/>
          <w:sz w:val="24"/>
          <w:szCs w:val="24"/>
        </w:rPr>
      </w:r>
    </w:p>
    <w:p>
      <w:pPr>
        <w:spacing w:after="0" w:line="240" w:lineRule="auto"/>
        <w:rPr>
          <w:rFonts w:eastAsia="Times New Roman"/>
          <w:sz w:val="16"/>
          <w:szCs w:val="16"/>
        </w:rPr>
      </w:pPr>
      <w:r>
        <w:rPr>
          <w:rFonts w:ascii="Times New Roman" w:hAnsi="Times New Roman" w:eastAsia="Times New Roman" w:cs="Times New Roman"/>
          <w:i/>
          <w:iCs/>
          <w:sz w:val="24"/>
          <w:szCs w:val="24"/>
        </w:rPr>
        <w:t xml:space="preserve">Am 24. Oktober 1915 schrieb der britische Hochkommissar in Kairo, Sir Henry McMahon, an </w:t>
      </w:r>
      <w:r>
        <w:rPr>
          <w:rFonts w:eastAsia="Times New Roman"/>
          <w:i/>
          <w:iCs/>
          <w:sz w:val="24"/>
          <w:szCs w:val="24"/>
        </w:rPr>
        <w:t>den Scherifen Hussein von Mekka:</w:t>
      </w:r>
      <w:r>
        <w:rPr>
          <w:rFonts w:eastAsia="Times New Roman"/>
          <w:sz w:val="24"/>
          <w:szCs w:val="24"/>
        </w:rPr>
        <w:t xml:space="preserve"> </w:t>
        <w:br w:type="textWrapping"/>
        <w:t>Die beiden Distrikte von Mersina und Alexandretta sowie Teile Syriens, die westlich der Distrikte von Damaskus, Homs, Hama und Aleppo liegen, kann man nicht als rein arabisch bezeichnen. Daher sollten sie von den geforderten Staatsgrenzen ausgeschlossen werden. […] Abgesehen von den genannten Änderungsvorschlägen ist Großbritannien bereit, die Unabhängigkeit der Araber in allen vom Scherifen</w:t>
      </w:r>
      <w:r>
        <w:rPr>
          <w:rFonts w:eastAsia="Times New Roman"/>
          <w:sz w:val="24"/>
          <w:szCs w:val="24"/>
        </w:rPr>
        <w:t xml:space="preserve"> von Mekka geforderten Gebieten anzuerkennen und zu unterstützen. </w:t>
      </w:r>
      <w:r>
        <w:rPr>
          <w:rFonts w:eastAsia="Times New Roman"/>
          <w:sz w:val="24"/>
          <w:szCs w:val="24"/>
        </w:rPr>
        <w:br w:type="textWrapping"/>
        <w:t xml:space="preserve">Ich bin davon überzeugt, </w:t>
      </w:r>
      <w:r>
        <w:rPr>
          <w:rFonts w:eastAsia="Times New Roman"/>
          <w:sz w:val="24"/>
          <w:szCs w:val="24"/>
        </w:rPr>
        <w:t>daß</w:t>
      </w:r>
      <w:r>
        <w:rPr>
          <w:rFonts w:eastAsia="Times New Roman"/>
          <w:sz w:val="24"/>
          <w:szCs w:val="24"/>
        </w:rPr>
        <w:t xml:space="preserve"> diese Erklärung Sie zweifellos von der Sympathie überzeugt, die Großbritannien ihren arabischen Freunden entgegenbringt. Sie wird eine feste und dauerhafte Allianz begründen, </w:t>
      </w:r>
      <w:r>
        <w:rPr>
          <w:rFonts w:eastAsia="Times New Roman"/>
          <w:sz w:val="24"/>
          <w:szCs w:val="24"/>
        </w:rPr>
        <w:t>deren sofortiges Ergebnis die Vertreibung der Türken aus arabischen Ländern und die Befreiung d</w:t>
      </w:r>
      <w:r>
        <w:rPr>
          <w:rFonts w:eastAsia="Times New Roman" w:cs="Times New Roman"/>
          <w:sz w:val="24"/>
          <w:szCs w:val="24"/>
        </w:rPr>
        <w:t xml:space="preserve">er arabischen Völker vom türkischen Joch sein wird, das so lange auf ihnen lastete. </w:t>
      </w:r>
      <w:r>
        <w:rPr>
          <w:rFonts w:eastAsia="Times New Roman" w:cs="Times New Roman"/>
          <w:sz w:val="24"/>
          <w:szCs w:val="24"/>
        </w:rPr>
        <w:br w:type="textWrapping"/>
      </w:r>
      <w:r>
        <w:rPr>
          <w:rFonts w:eastAsia="Times New Roman"/>
          <w:i/>
          <w:iCs/>
          <w:sz w:val="16"/>
          <w:szCs w:val="16"/>
        </w:rPr>
        <w:t>Friedrich Schreiber / Michael Wolfssohn, Nahost. Geschichte und Struktur des Konflikts, Opladen, 4. Auflage 1996, S. 22</w:t>
      </w:r>
      <w:r>
        <w:rPr>
          <w:rFonts w:eastAsia="Times New Roman"/>
          <w:sz w:val="16"/>
          <w:szCs w:val="16"/>
        </w:rPr>
        <w:t xml:space="preserve"> </w:t>
      </w:r>
      <w:r>
        <w:rPr>
          <w:rFonts w:eastAsia="Times New Roman"/>
          <w:sz w:val="16"/>
          <w:szCs w:val="16"/>
        </w:rPr>
      </w:r>
    </w:p>
    <w:p>
      <w:pPr>
        <w:rPr>
          <w:b/>
          <w:sz w:val="24"/>
          <w:szCs w:val="24"/>
        </w:rPr>
      </w:pPr>
      <w:r>
        <w:rPr>
          <w:b/>
          <w:sz w:val="24"/>
          <w:szCs w:val="24"/>
        </w:rPr>
      </w:r>
    </w:p>
    <w:p>
      <w:pPr>
        <w:rPr>
          <w:b/>
          <w:sz w:val="24"/>
          <w:szCs w:val="24"/>
        </w:rPr>
      </w:pPr>
      <w:r>
        <w:rPr>
          <w:b/>
          <w:sz w:val="24"/>
          <w:szCs w:val="24"/>
        </w:rPr>
        <w:t>M2:  Karte auf der Grundlage der Hussein-McMahon-Korrespondenz</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2"/>
          <w:rFonts w:ascii="Basic Roman" w:hAnsi="Basic Roman" w:eastAsia="Basic Roman"/>
          <w:kern w:val="1"/>
          <w:sz w:val="20"/>
          <w:szCs w:val="20"/>
          <w:lang w:val="de-de" w:bidi="ar-sa"/>
        </w:rPr>
      </w:pPr>
      <w:hyperlink r:id="rId18" w:history="1">
        <w:r>
          <w:rPr>
            <w:rStyle w:val="char2"/>
            <w:rFonts w:ascii="Basic Roman" w:hAnsi="Basic Roman" w:eastAsia="Basic Roman"/>
            <w:kern w:val="1"/>
            <w:sz w:val="20"/>
            <w:szCs w:val="20"/>
            <w:lang w:val="de-de" w:bidi="ar-sa"/>
          </w:rPr>
          <w:t>https://www.aref.de/kalenderblatt/mehr/palaestina_hussein-mcmahon-korrespondenz.htm</w:t>
        </w:r>
      </w:hyperlink>
    </w:p>
    <w:p>
      <w:pPr>
        <w:spacing w:after="0" w:line="240" w:lineRule="auto"/>
        <w:rPr>
          <w:b/>
          <w:sz w:val="16"/>
          <w:szCs w:val="16"/>
        </w:rPr>
      </w:pPr>
      <w:r>
        <w:rPr>
          <w:b/>
          <w:sz w:val="16"/>
          <w:szCs w:val="16"/>
        </w:rPr>
      </w:r>
    </w:p>
    <w:p>
      <w:pPr>
        <w:spacing w:after="0" w:line="240" w:lineRule="auto"/>
        <w:rPr>
          <w:b/>
          <w:sz w:val="24"/>
          <w:szCs w:val="24"/>
        </w:rPr>
      </w:pPr>
      <w:r>
        <w:rPr>
          <w:b/>
          <w:sz w:val="24"/>
          <w:szCs w:val="24"/>
        </w:rPr>
      </w:r>
    </w:p>
    <w:p>
      <w:pPr>
        <w:spacing w:after="0" w:line="240" w:lineRule="auto"/>
        <w:rPr>
          <w:b/>
          <w:sz w:val="24"/>
          <w:szCs w:val="24"/>
        </w:rPr>
      </w:pPr>
      <w:r>
        <w:rPr>
          <w:b/>
          <w:sz w:val="24"/>
          <w:szCs w:val="24"/>
        </w:rPr>
        <w:t xml:space="preserve">M3: Das Sykes-Picot- Abkommen Mai 1916 </w:t>
      </w:r>
    </w:p>
    <w:p>
      <w:pPr>
        <w:pStyle w:val="para3"/>
        <w:spacing w:before="0" w:after="0" w:beforeAutospacing="0" w:afterAutospacing="0"/>
        <w:rPr>
          <w:rFonts w:ascii="Calibri" w:hAnsi="Calibri"/>
          <w:i/>
        </w:rPr>
      </w:pPr>
      <w:hyperlink r:id="rId19" w:history="1">
        <w:r>
          <w:rPr>
            <w:rStyle w:val="char2"/>
            <w:rFonts w:ascii="Calibri" w:hAnsi="Calibri"/>
            <w:i/>
          </w:rPr>
          <w:t>https://en.wikisource.org/wiki/The_Sykes%E2%80%93Picot_Agreement</w:t>
        </w:r>
      </w:hyperlink>
    </w:p>
    <w:p>
      <w:hyperlink r:id="rId20" w:history="1">
        <w:r>
          <w:rPr>
            <w:rStyle w:val="char2"/>
          </w:rPr>
          <w:t>https://commons.wikimedia.org/wiki/Category:Sykes-Picot_Agreement?uselang=de</w:t>
        </w:r>
      </w:hyperlink>
    </w:p>
    <w:p>
      <w:pPr>
        <w:rPr>
          <w:b/>
          <w:sz w:val="24"/>
          <w:szCs w:val="24"/>
        </w:rPr>
      </w:pPr>
      <w:r>
        <w:rPr>
          <w:b/>
          <w:sz w:val="24"/>
          <w:szCs w:val="24"/>
        </w:rPr>
        <w:t>M4 Karte Sykes-Picot-Abkommen 1916</w:t>
      </w:r>
    </w:p>
    <w:p>
      <w:r>
        <w:t>https://www.jewishvirtuallibrary.org/jsource/images/sykes.gif</w:t>
      </w:r>
    </w:p>
    <w:p>
      <w:pPr>
        <w:spacing w:after="0" w:line="240" w:lineRule="auto"/>
        <w:rPr>
          <w:b/>
          <w:sz w:val="24"/>
          <w:szCs w:val="24"/>
        </w:rPr>
      </w:pPr>
      <w:r>
        <w:rPr>
          <w:b/>
          <w:sz w:val="24"/>
          <w:szCs w:val="24"/>
        </w:rPr>
        <w:t>M5 Balfour-Erklärung</w:t>
      </w:r>
    </w:p>
    <w:p>
      <w:pPr>
        <w:spacing w:after="0" w:line="240" w:lineRule="auto"/>
        <w:jc w:val="both"/>
      </w:pPr>
      <w:hyperlink r:id="rId21" w:history="1">
        <w:r>
          <w:rPr>
            <w:rStyle w:val="char2"/>
          </w:rPr>
          <w:t>https://de.wikipedia.org/wiki/Balfour-Deklaration</w:t>
        </w:r>
      </w:hyperlink>
    </w:p>
    <w:p>
      <w:pPr>
        <w:spacing w:after="0" w:line="240" w:lineRule="auto"/>
        <w:jc w:val="both"/>
        <w:rPr>
          <w:sz w:val="24"/>
          <w:szCs w:val="24"/>
        </w:rPr>
      </w:pPr>
      <w:r/>
      <w:bookmarkStart w:id="0" w:name="_GoBack"/>
      <w:bookmarkEnd w:id="0"/>
      <w:r/>
      <w:r>
        <w:rPr>
          <w:sz w:val="24"/>
          <w:szCs w:val="24"/>
        </w:rPr>
      </w:r>
    </w:p>
    <w:p>
      <w:pPr>
        <w:spacing w:after="0" w:line="240" w:lineRule="auto"/>
        <w:jc w:val="both"/>
        <w:rPr>
          <w:sz w:val="24"/>
          <w:szCs w:val="24"/>
        </w:rPr>
      </w:pPr>
      <w:r>
        <w:rPr>
          <w:sz w:val="24"/>
          <w:szCs w:val="24"/>
        </w:rPr>
      </w:r>
    </w:p>
    <w:p>
      <w:pPr>
        <w:spacing w:after="0" w:line="240" w:lineRule="auto"/>
        <w:rPr>
          <w:b/>
          <w:sz w:val="24"/>
          <w:szCs w:val="24"/>
        </w:rPr>
      </w:pPr>
      <w:r>
        <w:rPr>
          <w:b/>
          <w:sz w:val="24"/>
          <w:szCs w:val="24"/>
        </w:rPr>
        <w:t>M 6 Völkerbundmandat für Palästina</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2"/>
          <w:rFonts w:ascii="Basic Roman" w:hAnsi="Basic Roman" w:eastAsia="Basic Roman"/>
          <w:kern w:val="1"/>
          <w:sz w:val="20"/>
          <w:szCs w:val="20"/>
          <w:lang w:val="de-de" w:bidi="ar-sa"/>
        </w:rPr>
      </w:pPr>
      <w:hyperlink r:id="rId22" w:history="1">
        <w:r>
          <w:rPr>
            <w:rStyle w:val="char2"/>
            <w:rFonts w:ascii="Basic Roman" w:hAnsi="Basic Roman" w:eastAsia="Basic Roman"/>
            <w:kern w:val="1"/>
            <w:sz w:val="20"/>
            <w:szCs w:val="20"/>
            <w:lang w:val="de-de" w:bidi="ar-sa"/>
          </w:rPr>
          <w:t>https://de.wikipedia.org/wiki/V%C3%B6lkerbundsmandat_f%C3%BCr_Pal%C3%A4stina</w:t>
        </w:r>
      </w:hyperlink>
    </w:p>
    <w:p>
      <w:pPr>
        <w:rPr>
          <w:i/>
          <w:sz w:val="24"/>
          <w:szCs w:val="24"/>
        </w:rPr>
      </w:pPr>
      <w:r>
        <w:rPr>
          <w:i/>
          <w:sz w:val="24"/>
          <w:szCs w:val="24"/>
        </w:rPr>
      </w:r>
    </w:p>
    <w:p>
      <w:r/>
      <w:r>
        <w:br w:type="page"/>
      </w:r>
    </w:p>
    <w:p>
      <w:pPr>
        <w:spacing w:after="0" w:line="240" w:lineRule="auto"/>
        <w:jc w:val="both"/>
        <w:rPr>
          <w:b/>
          <w:sz w:val="24"/>
          <w:szCs w:val="24"/>
        </w:rPr>
      </w:pPr>
      <w:r>
        <w:rPr>
          <w:b/>
          <w:sz w:val="24"/>
          <w:szCs w:val="24"/>
        </w:rPr>
        <w:t xml:space="preserve">M 7 Völkerbundmandat </w:t>
      </w:r>
    </w:p>
    <w:p>
      <w:pPr>
        <w:spacing w:after="0" w:line="240" w:lineRule="auto"/>
        <w:jc w:val="both"/>
      </w:pPr>
      <w:r>
        <w:rPr>
          <w:noProof/>
        </w:rPr>
        <w:drawing>
          <wp:inline distT="0" distB="0" distL="0" distR="0">
            <wp:extent cx="3589020" cy="2881630"/>
            <wp:effectExtent l="0" t="0" r="0" b="0"/>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descr="https://upload.wikimedia.org/wikipedia/commons/thumb/9/92/BritishMandatePalestine1920-de.svg/675px-BritishMandatePalestine1920-de.svg.png"/>
                    <pic:cNvPicPr>
                      <a:picLocks noChangeAspect="1"/>
                      <a:extLst>
                        <a:ext uri="smNativeData">
                          <sm:smNativeData xmlns:sm="smNativeData" val="SMDATA_14_9lXx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gAAAAHoAAAAAAAAAAAAAAAAAAAAAAAAAAAAAAAAAAAAAAAAAAAAAAUFgAAuhEAAAAAAAAAAAAAAAAAACgAAAAIAAAAAQAAAAEAAAA="/>
                        </a:ext>
                      </a:extLst>
                    </pic:cNvPicPr>
                  </pic:nvPicPr>
                  <pic:blipFill>
                    <a:blip r:embed="rId23"/>
                    <a:stretch>
                      <a:fillRect/>
                    </a:stretch>
                  </pic:blipFill>
                  <pic:spPr>
                    <a:xfrm>
                      <a:off x="0" y="0"/>
                      <a:ext cx="3589020" cy="2881630"/>
                    </a:xfrm>
                    <a:prstGeom prst="rect">
                      <a:avLst/>
                    </a:prstGeom>
                    <a:noFill/>
                    <a:ln w="12700">
                      <a:noFill/>
                    </a:ln>
                  </pic:spPr>
                </pic:pic>
              </a:graphicData>
            </a:graphic>
          </wp:inline>
        </w:drawing>
      </w:r>
      <w:r/>
    </w:p>
    <w:p>
      <w:pPr>
        <w:spacing w:after="0" w:line="240" w:lineRule="auto"/>
        <w:jc w:val="both"/>
      </w:pPr>
      <w:hyperlink r:id="rId24" w:history="1">
        <w:r>
          <w:rPr>
            <w:rStyle w:val="char2"/>
          </w:rPr>
          <w:t>https://commons.wikimedia.org/wiki/File:BritishMandatePalestine1920-de.svg#/media/File:BritishMandatePalestine1920-de.svg</w:t>
        </w:r>
      </w:hyperlink>
    </w:p>
    <w:p>
      <w:pPr>
        <w:spacing w:after="0" w:line="240" w:lineRule="auto"/>
        <w:jc w:val="both"/>
        <w:rPr>
          <w:sz w:val="24"/>
          <w:szCs w:val="24"/>
        </w:rPr>
      </w:pPr>
      <w:r>
        <w:rPr>
          <w:sz w:val="24"/>
          <w:szCs w:val="24"/>
        </w:rPr>
      </w:r>
    </w:p>
    <w:p>
      <w:pPr>
        <w:rPr>
          <w:b/>
          <w:sz w:val="24"/>
          <w:szCs w:val="24"/>
        </w:rPr>
      </w:pPr>
      <w:r>
        <w:rPr>
          <w:b/>
          <w:sz w:val="24"/>
          <w:szCs w:val="24"/>
        </w:rPr>
        <w:t>M8 Teilungsbeschluss der Vereinten Nationen für Palästina vom 29. November 1947 (Resolution 181 (II))</w:t>
      </w:r>
    </w:p>
    <w:p>
      <w:pPr>
        <w:spacing w:after="0" w:line="240" w:lineRule="auto"/>
        <w:rPr>
          <w:sz w:val="24"/>
          <w:szCs w:val="24"/>
        </w:rPr>
      </w:pPr>
      <w:r>
        <w:rPr>
          <w:sz w:val="24"/>
          <w:szCs w:val="24"/>
        </w:rPr>
        <w:t>TEIL I</w:t>
      </w:r>
    </w:p>
    <w:p>
      <w:pPr>
        <w:spacing w:after="0" w:line="240" w:lineRule="auto"/>
        <w:rPr>
          <w:b/>
          <w:bCs/>
          <w:sz w:val="24"/>
          <w:szCs w:val="24"/>
        </w:rPr>
      </w:pPr>
      <w:r>
        <w:rPr>
          <w:b/>
          <w:bCs/>
          <w:sz w:val="24"/>
          <w:szCs w:val="24"/>
        </w:rPr>
        <w:t>Künftige Verfassung und Regierung Palästinas</w:t>
      </w:r>
    </w:p>
    <w:p>
      <w:pPr>
        <w:spacing w:after="0" w:line="240" w:lineRule="auto"/>
        <w:rPr>
          <w:sz w:val="24"/>
          <w:szCs w:val="24"/>
        </w:rPr>
      </w:pPr>
      <w:r>
        <w:rPr>
          <w:sz w:val="24"/>
          <w:szCs w:val="24"/>
        </w:rPr>
        <w:t>A. BEENDIGUNG DES MANDATS, TEILUNG UND UNABHÄNGIGKEIT</w:t>
      </w:r>
    </w:p>
    <w:p>
      <w:pPr>
        <w:spacing w:after="0" w:line="240" w:lineRule="auto"/>
        <w:rPr>
          <w:sz w:val="24"/>
          <w:szCs w:val="24"/>
        </w:rPr>
      </w:pPr>
      <w:r>
        <w:rPr>
          <w:sz w:val="24"/>
          <w:szCs w:val="24"/>
        </w:rPr>
        <w:t>1. Das Mandat für Palästina endet so bald wie möglich und in jedem Fall spätestens am 1.</w:t>
      </w:r>
    </w:p>
    <w:p>
      <w:pPr>
        <w:spacing w:after="0" w:line="240" w:lineRule="auto"/>
        <w:rPr>
          <w:sz w:val="24"/>
          <w:szCs w:val="24"/>
        </w:rPr>
      </w:pPr>
      <w:r>
        <w:rPr>
          <w:sz w:val="24"/>
          <w:szCs w:val="24"/>
        </w:rPr>
        <w:t>August 1948.</w:t>
      </w:r>
    </w:p>
    <w:p>
      <w:pPr>
        <w:spacing w:after="0" w:line="240" w:lineRule="auto"/>
        <w:rPr>
          <w:sz w:val="24"/>
          <w:szCs w:val="24"/>
        </w:rPr>
      </w:pPr>
      <w:r>
        <w:rPr>
          <w:sz w:val="24"/>
          <w:szCs w:val="24"/>
        </w:rPr>
        <w:t>2. Die Streitkräfte der Mandatsmacht werden schrittweise aus Palästina abgezogen, wobei</w:t>
      </w:r>
    </w:p>
    <w:p>
      <w:pPr>
        <w:spacing w:after="0" w:line="240" w:lineRule="auto"/>
        <w:rPr>
          <w:sz w:val="24"/>
          <w:szCs w:val="24"/>
        </w:rPr>
      </w:pPr>
      <w:r>
        <w:rPr>
          <w:sz w:val="24"/>
          <w:szCs w:val="24"/>
        </w:rPr>
        <w:t>der Abzug so bald wie möglich abzuschließen ist, in jedem Fall spätestens am 1. August 1948.</w:t>
      </w:r>
    </w:p>
    <w:p>
      <w:pPr>
        <w:spacing w:after="0" w:line="240" w:lineRule="auto"/>
        <w:rPr>
          <w:sz w:val="24"/>
          <w:szCs w:val="24"/>
        </w:rPr>
      </w:pPr>
      <w:r>
        <w:rPr>
          <w:sz w:val="24"/>
          <w:szCs w:val="24"/>
        </w:rPr>
        <w:t>Die Mandatsmacht unterrichtet die Kommission so lange wie möglich im Voraus von ihrer</w:t>
      </w:r>
    </w:p>
    <w:p>
      <w:pPr>
        <w:spacing w:after="0" w:line="240" w:lineRule="auto"/>
        <w:rPr>
          <w:sz w:val="24"/>
          <w:szCs w:val="24"/>
        </w:rPr>
      </w:pPr>
      <w:r>
        <w:rPr>
          <w:sz w:val="24"/>
          <w:szCs w:val="24"/>
        </w:rPr>
        <w:t>Absicht, das Mandat zu beenden und jedes Gebiet zu räumen.</w:t>
      </w:r>
    </w:p>
    <w:p>
      <w:pPr>
        <w:spacing w:after="0" w:line="240" w:lineRule="auto"/>
        <w:rPr>
          <w:sz w:val="24"/>
          <w:szCs w:val="24"/>
        </w:rPr>
      </w:pPr>
      <w:r>
        <w:rPr>
          <w:sz w:val="24"/>
          <w:szCs w:val="24"/>
        </w:rPr>
        <w:t>Die Mandatsmacht tut alles, um sicherzustellen, dass ein in dem Hoheitsgebiet des jüdischen</w:t>
      </w:r>
    </w:p>
    <w:p>
      <w:pPr>
        <w:spacing w:after="0" w:line="240" w:lineRule="auto"/>
        <w:rPr>
          <w:sz w:val="24"/>
          <w:szCs w:val="24"/>
        </w:rPr>
      </w:pPr>
      <w:r>
        <w:rPr>
          <w:sz w:val="24"/>
          <w:szCs w:val="24"/>
        </w:rPr>
        <w:t>Staates gelegenes Gebiet, einschließlich eines Seehafens und eines Hinterlandes mit ausreichenden</w:t>
      </w:r>
    </w:p>
    <w:p>
      <w:pPr>
        <w:spacing w:after="0" w:line="240" w:lineRule="auto"/>
        <w:rPr>
          <w:sz w:val="24"/>
          <w:szCs w:val="24"/>
        </w:rPr>
      </w:pPr>
      <w:r>
        <w:rPr>
          <w:sz w:val="24"/>
          <w:szCs w:val="24"/>
        </w:rPr>
        <w:t>Möglichkeiten für eine beträchtliche Einwanderung, zum frühestmöglichen Zeitpunkt und in jedem Fall spätestens bis zum 1. Februar 1948 geräumt ist.</w:t>
      </w:r>
    </w:p>
    <w:p>
      <w:pPr>
        <w:spacing w:after="0" w:line="240" w:lineRule="auto"/>
        <w:rPr>
          <w:sz w:val="24"/>
          <w:szCs w:val="24"/>
        </w:rPr>
      </w:pPr>
      <w:r>
        <w:rPr>
          <w:sz w:val="24"/>
          <w:szCs w:val="24"/>
        </w:rPr>
        <w:t>3. Zwei Monate nach Abschluss des Abzugs der Streitkräfte der Mandatsmacht, in jedem</w:t>
      </w:r>
    </w:p>
    <w:p>
      <w:pPr>
        <w:spacing w:after="0" w:line="240" w:lineRule="auto"/>
        <w:rPr>
          <w:sz w:val="24"/>
          <w:szCs w:val="24"/>
        </w:rPr>
      </w:pPr>
      <w:r>
        <w:rPr>
          <w:sz w:val="24"/>
          <w:szCs w:val="24"/>
        </w:rPr>
        <w:t>Fall spätestens am 1. Oktober 1948, entstehen in Palästina ein unabhängiger arabischer Staat und ein unabhängiger jüdischer Staat sowie das in Teil III dieses Plans vorgesehene internationale Sonderregime für die Stadt Jerusalem. Die Grenzen des arabischen Staates, des jüdischen Staates und der Stadt Jerusalem sind die in den Teilen II und III beschriebenen Grenzen.</w:t>
      </w:r>
    </w:p>
    <w:p>
      <w:pPr>
        <w:spacing w:after="0" w:line="240" w:lineRule="auto"/>
        <w:jc w:val="both"/>
      </w:pPr>
      <w:hyperlink r:id="rId25" w:history="1">
        <w:r>
          <w:rPr>
            <w:rStyle w:val="char2"/>
            <w:sz w:val="16"/>
            <w:szCs w:val="16"/>
          </w:rPr>
          <w:t>http://www.un.org/depts/german/gv-early/ar181-ii.pd</w:t>
        </w:r>
        <w:r>
          <w:rPr>
            <w:rStyle w:val="char2"/>
          </w:rPr>
          <w:t>f</w:t>
        </w:r>
      </w:hyperlink>
    </w:p>
    <w:p>
      <w:pPr>
        <w:spacing w:after="0" w:line="240" w:lineRule="auto"/>
        <w:jc w:val="both"/>
      </w:pPr>
      <w:r/>
    </w:p>
    <w:p>
      <w:r>
        <w:rPr>
          <w:noProof/>
        </w:rPr>
        <w:drawing>
          <wp:anchor distT="0" distB="0" distL="114300" distR="114300" simplePos="0" relativeHeight="251658244" behindDoc="1" locked="0" layoutInCell="0" hidden="0" allowOverlap="1">
            <wp:simplePos x="0" y="0"/>
            <wp:positionH relativeFrom="column">
              <wp:posOffset>2738755</wp:posOffset>
            </wp:positionH>
            <wp:positionV relativeFrom="paragraph">
              <wp:posOffset>145415</wp:posOffset>
            </wp:positionV>
            <wp:extent cx="2106295" cy="3884930"/>
            <wp:effectExtent l="0" t="0" r="0" b="0"/>
            <wp:wrapTight wrapText="bothSides">
              <wp:wrapPolygon edited="0">
                <wp:start x="-1172" y="438"/>
                <wp:lineTo x="-1172" y="21452"/>
                <wp:lineTo x="22733" y="21452"/>
                <wp:lineTo x="22733" y="438"/>
                <wp:lineTo x="-1172" y="438"/>
              </wp:wrapPolygon>
            </wp:wrapTight>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descr="https://upload.wikimedia.org/wikipedia/commons/thumb/3/3d/UN_Partition_Plan_For_Palestine_1947_de.svg/615px-UN_Partition_Plan_For_Palestine_1947_de.svg.png"/>
                    <pic:cNvPicPr>
                      <a:picLocks noChangeAspect="1"/>
                      <a:extLst>
                        <a:ext uri="smNativeData">
                          <sm:smNativeData xmlns:sm="smNativeData" val="SMDATA_14_9lXx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E0AAAAAIwAAAAAAAAAAAAAAAAAAAgAAANkQAAAAAAAAAgAAAOUAAAD1DAAA5hcAAAMAAABiFgAAbgYAACgAAAAIAAAAAQAAAAEAAAA="/>
                        </a:ext>
                      </a:extLst>
                    </pic:cNvPicPr>
                  </pic:nvPicPr>
                  <pic:blipFill>
                    <a:blip r:embed="rId26"/>
                    <a:stretch>
                      <a:fillRect/>
                    </a:stretch>
                  </pic:blipFill>
                  <pic:spPr>
                    <a:xfrm>
                      <a:off x="0" y="0"/>
                      <a:ext cx="2106295" cy="3884930"/>
                    </a:xfrm>
                    <a:prstGeom prst="rect">
                      <a:avLst/>
                    </a:prstGeom>
                    <a:noFill/>
                    <a:ln w="12700">
                      <a:noFill/>
                    </a:ln>
                  </pic:spPr>
                </pic:pic>
              </a:graphicData>
            </a:graphic>
          </wp:anchor>
        </w:drawing>
      </w:r>
      <w:r/>
    </w:p>
    <w:p>
      <w:pPr>
        <w:rPr>
          <w:b/>
          <w:sz w:val="24"/>
        </w:rPr>
      </w:pPr>
      <w:r>
        <w:rPr>
          <w:b/>
          <w:sz w:val="24"/>
        </w:rPr>
        <w:t>M9: Umsetzung UN-Teilungsplan 1947</w:t>
      </w:r>
    </w:p>
    <w:p>
      <w:r/>
    </w:p>
    <w:p>
      <w:r/>
    </w:p>
    <w:p>
      <w:r/>
    </w:p>
    <w:p>
      <w:r/>
    </w:p>
    <w:p>
      <w:r/>
    </w:p>
    <w:p>
      <w:pPr>
        <w:rPr>
          <w:rStyle w:val="char2"/>
          <w:sz w:val="16"/>
          <w:szCs w:val="16"/>
        </w:rPr>
      </w:pPr>
      <w:hyperlink r:id="rId27" w:history="1">
        <w:r>
          <w:rPr>
            <w:rStyle w:val="char2"/>
            <w:sz w:val="16"/>
            <w:szCs w:val="16"/>
          </w:rPr>
          <w:t>https://commons.wikimedia.org/wiki/File:UN_Partition_Plan_For_Palestine_1947_de.svg#/media/File:UN_Partition_Plan_For_Palestine_1947_de.svg</w:t>
        </w:r>
      </w:hyperlink>
    </w:p>
    <w:p>
      <w:pPr>
        <w:spacing w:after="0" w:line="240" w:lineRule="auto"/>
        <w:jc w:val="both"/>
        <w:rPr>
          <w:b/>
          <w:sz w:val="24"/>
          <w:szCs w:val="24"/>
        </w:rPr>
      </w:pPr>
      <w:r>
        <w:rPr>
          <w:b/>
          <w:sz w:val="24"/>
          <w:szCs w:val="24"/>
        </w:rPr>
      </w:r>
    </w:p>
    <w:p>
      <w:pPr>
        <w:spacing w:after="0" w:line="240" w:lineRule="auto"/>
        <w:jc w:val="both"/>
        <w:rPr>
          <w:b/>
          <w:sz w:val="24"/>
          <w:szCs w:val="24"/>
        </w:rPr>
      </w:pPr>
      <w:r>
        <w:rPr>
          <w:b/>
          <w:sz w:val="24"/>
          <w:szCs w:val="24"/>
        </w:rPr>
        <w:t xml:space="preserve">M10 Die Proklamationsurkunde des Staates Israel vom 14. Mai 1948 </w:t>
      </w:r>
    </w:p>
    <w:p>
      <w:pPr>
        <w:spacing w:after="0" w:line="240" w:lineRule="auto"/>
        <w:jc w:val="both"/>
      </w:pPr>
      <w:hyperlink r:id="rId28" w:history="1">
        <w:r>
          <w:rPr>
            <w:rStyle w:val="char2"/>
          </w:rPr>
          <w:t>https://de.wikipedia.org/wiki/Israelische_Unabh%C3%A4ngigkeitserkl%C3%A4rung#Deutsche_.C3.9Cbersetzung</w:t>
        </w:r>
      </w:hyperlink>
      <w:r>
        <w:t>.</w:t>
      </w:r>
    </w:p>
    <w:p>
      <w:pPr>
        <w:spacing w:after="0" w:line="240" w:lineRule="auto"/>
        <w:jc w:val="both"/>
        <w:rPr>
          <w:sz w:val="16"/>
          <w:szCs w:val="16"/>
        </w:rPr>
      </w:pPr>
      <w:r>
        <w:rPr>
          <w:sz w:val="16"/>
          <w:szCs w:val="16"/>
        </w:rPr>
      </w:r>
    </w:p>
    <w:p>
      <w:pPr>
        <w:spacing w:after="0" w:line="240" w:lineRule="auto"/>
        <w:jc w:val="both"/>
        <w:rPr>
          <w:sz w:val="16"/>
          <w:szCs w:val="16"/>
        </w:rPr>
      </w:pPr>
      <w:r>
        <w:rPr>
          <w:sz w:val="16"/>
          <w:szCs w:val="16"/>
        </w:rPr>
      </w:r>
    </w:p>
    <w:p>
      <w:pPr>
        <w:spacing w:after="0" w:line="240" w:lineRule="auto"/>
        <w:jc w:val="both"/>
        <w:rPr>
          <w:b/>
          <w:i/>
          <w:sz w:val="24"/>
          <w:szCs w:val="24"/>
        </w:rPr>
      </w:pPr>
      <w:r>
        <w:rPr>
          <w:b/>
          <w:i/>
          <w:sz w:val="24"/>
          <w:szCs w:val="24"/>
        </w:rPr>
        <w:t>Zusätzliches Material</w:t>
      </w:r>
    </w:p>
    <w:p>
      <w:pPr>
        <w:spacing w:after="0" w:line="240" w:lineRule="auto"/>
        <w:jc w:val="both"/>
        <w:rPr>
          <w:sz w:val="24"/>
          <w:szCs w:val="24"/>
        </w:rPr>
      </w:pPr>
      <w:r>
        <w:rPr>
          <w:sz w:val="24"/>
          <w:szCs w:val="24"/>
        </w:rPr>
        <w:t>Historischer Weltatlas, Bundeszentrale für politische Bildung, Bd. 1322, S.183, S.244f</w:t>
      </w:r>
    </w:p>
    <w:p>
      <w:pPr>
        <w:spacing w:after="0" w:line="240" w:lineRule="auto"/>
        <w:jc w:val="both"/>
        <w:rPr>
          <w:sz w:val="24"/>
          <w:szCs w:val="24"/>
        </w:rPr>
      </w:pPr>
      <w:r>
        <w:rPr>
          <w:sz w:val="24"/>
          <w:szCs w:val="24"/>
        </w:rPr>
      </w:r>
    </w:p>
    <w:p>
      <w:pPr>
        <w:spacing w:after="0" w:line="240" w:lineRule="auto"/>
        <w:jc w:val="both"/>
        <w:rPr>
          <w:sz w:val="16"/>
          <w:szCs w:val="16"/>
        </w:rPr>
      </w:pPr>
      <w:r>
        <w:rPr>
          <w:sz w:val="16"/>
          <w:szCs w:val="16"/>
        </w:rPr>
      </w:r>
    </w:p>
    <w:p>
      <w:pPr>
        <w:spacing w:after="0" w:line="240" w:lineRule="auto"/>
        <w:jc w:val="both"/>
        <w:rPr>
          <w:b/>
          <w:sz w:val="24"/>
          <w:szCs w:val="24"/>
        </w:rPr>
      </w:pPr>
      <w:r>
        <w:rPr>
          <w:b/>
          <w:sz w:val="24"/>
          <w:szCs w:val="24"/>
        </w:rPr>
        <w:t>Resolution 242 des Sicherheitsrats der Vereinten Nationen vom 22. November 1967</w:t>
      </w:r>
    </w:p>
    <w:p>
      <w:pPr>
        <w:pStyle w:val="para3"/>
        <w:spacing w:before="0" w:after="0" w:beforeAutospacing="0" w:afterAutospacing="0"/>
        <w:rPr>
          <w:sz w:val="22"/>
          <w:szCs w:val="22"/>
        </w:rPr>
      </w:pPr>
      <w:hyperlink r:id="rId29" w:history="1">
        <w:r>
          <w:rPr>
            <w:rStyle w:val="char2"/>
            <w:sz w:val="22"/>
            <w:szCs w:val="22"/>
          </w:rPr>
          <w:t>http://www.un.org/depts/german/sr/sr_67/sr242-67.pdf</w:t>
        </w:r>
      </w:hyperlink>
    </w:p>
    <w:p>
      <w:pPr>
        <w:pStyle w:val="para3"/>
        <w:spacing w:before="0" w:after="0" w:beforeAutospacing="0" w:afterAutospacing="0"/>
        <w:rPr>
          <w:sz w:val="22"/>
          <w:szCs w:val="22"/>
        </w:rPr>
      </w:pPr>
      <w:r>
        <w:rPr>
          <w:sz w:val="22"/>
          <w:szCs w:val="22"/>
        </w:rPr>
      </w:r>
    </w:p>
    <w:p>
      <w:pPr>
        <w:spacing w:after="0" w:line="240" w:lineRule="auto"/>
        <w:jc w:val="both"/>
        <w:rPr>
          <w:b/>
          <w:sz w:val="24"/>
          <w:szCs w:val="24"/>
        </w:rPr>
      </w:pPr>
      <w:r>
        <w:rPr>
          <w:b/>
          <w:sz w:val="24"/>
          <w:szCs w:val="24"/>
        </w:rPr>
        <w:t>M Aus dem Palästinensischen Nationalabkommen von 1968</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2"/>
          <w:rFonts w:ascii="Basic Roman" w:hAnsi="Basic Roman" w:eastAsia="Basic Roman"/>
          <w:kern w:val="1"/>
          <w:sz w:val="20"/>
          <w:szCs w:val="20"/>
          <w:lang w:val="de-de" w:bidi="ar-sa"/>
        </w:rPr>
      </w:pPr>
      <w:hyperlink r:id="rId30" w:history="1">
        <w:r>
          <w:rPr>
            <w:rStyle w:val="char2"/>
            <w:rFonts w:ascii="Basic Roman" w:hAnsi="Basic Roman" w:eastAsia="Basic Roman"/>
            <w:kern w:val="1"/>
            <w:sz w:val="20"/>
            <w:szCs w:val="20"/>
            <w:lang w:val="de-de" w:bidi="ar-sa"/>
          </w:rPr>
          <w:t>https://www.efg-hohenstaufenstr.de/downloads/texte/plo_charta.html</w:t>
        </w:r>
      </w:hyperlink>
    </w:p>
    <w:p>
      <w:pPr>
        <w:spacing w:after="0" w:line="240" w:lineRule="auto"/>
        <w:jc w:val="both"/>
        <w:rPr>
          <w:b/>
          <w:sz w:val="24"/>
          <w:szCs w:val="24"/>
        </w:rPr>
      </w:pPr>
      <w:r>
        <w:rPr>
          <w:b/>
          <w:sz w:val="24"/>
          <w:szCs w:val="24"/>
        </w:rPr>
      </w:r>
    </w:p>
    <w:p>
      <w:pPr>
        <w:spacing w:after="0" w:line="240" w:lineRule="auto"/>
        <w:jc w:val="both"/>
        <w:rPr>
          <w:sz w:val="24"/>
          <w:szCs w:val="24"/>
        </w:rPr>
      </w:pPr>
      <w:r>
        <w:rPr>
          <w:b/>
          <w:sz w:val="24"/>
          <w:szCs w:val="24"/>
        </w:rPr>
        <w:t xml:space="preserve">M Beispiele für Erklärvideos zum Thema, </w:t>
      </w:r>
      <w:r>
        <w:rPr>
          <w:sz w:val="24"/>
          <w:szCs w:val="24"/>
        </w:rPr>
        <w:t>(letzter Zugriff 16.6.2017)</w:t>
      </w:r>
    </w:p>
    <w:p>
      <w:pPr>
        <w:spacing w:after="0" w:line="240" w:lineRule="auto"/>
        <w:jc w:val="both"/>
        <w:rPr>
          <w:b/>
          <w:sz w:val="24"/>
          <w:szCs w:val="24"/>
        </w:rPr>
      </w:pPr>
      <w:r>
        <w:rPr>
          <w:b/>
          <w:sz w:val="24"/>
          <w:szCs w:val="24"/>
        </w:rPr>
      </w:r>
    </w:p>
    <w:p>
      <w:pPr>
        <w:spacing w:after="0" w:line="240" w:lineRule="auto"/>
        <w:jc w:val="both"/>
        <w:rPr>
          <w:sz w:val="24"/>
          <w:szCs w:val="24"/>
        </w:rPr>
      </w:pPr>
      <w:hyperlink r:id="rId31" w:history="1">
        <w:r>
          <w:rPr>
            <w:rStyle w:val="char2"/>
            <w:sz w:val="24"/>
            <w:szCs w:val="24"/>
          </w:rPr>
          <w:t>https://www.youtube.com/watch?v=TjrGyWa4AQ0</w:t>
        </w:r>
      </w:hyperlink>
    </w:p>
    <w:p>
      <w:pPr>
        <w:spacing w:after="0" w:line="240" w:lineRule="auto"/>
        <w:jc w:val="both"/>
        <w:rPr>
          <w:sz w:val="24"/>
          <w:szCs w:val="24"/>
        </w:rPr>
      </w:pPr>
      <w:r>
        <w:rPr>
          <w:sz w:val="24"/>
          <w:szCs w:val="24"/>
        </w:rPr>
      </w:r>
    </w:p>
    <w:p>
      <w:pPr>
        <w:spacing w:after="0" w:line="240" w:lineRule="auto"/>
        <w:jc w:val="both"/>
        <w:rPr>
          <w:sz w:val="24"/>
          <w:szCs w:val="24"/>
        </w:rPr>
      </w:pPr>
      <w:hyperlink r:id="rId32" w:history="1">
        <w:r>
          <w:rPr>
            <w:rStyle w:val="char2"/>
            <w:sz w:val="24"/>
            <w:szCs w:val="24"/>
          </w:rPr>
          <w:t>https://www.youtube.com/watch?v=DBguAJI1M-U</w:t>
        </w:r>
      </w:hyperlink>
    </w:p>
    <w:sectPr>
      <w:footnotePr>
        <w:pos w:val="pageBottom"/>
        <w:numFmt w:val="decimal"/>
        <w:numStart w:val="1"/>
        <w:numRestart w:val="continuous"/>
      </w:footnotePr>
      <w:endnotePr>
        <w:pos w:val="docEnd"/>
        <w:numFmt w:val="decimal"/>
        <w:numStart w:val="1"/>
        <w:numRestart w:val="continuous"/>
      </w:endnotePr>
      <w:footerReference w:type="default" r:id="rId33"/>
      <w:type w:val="nextPage"/>
      <w:pgSz w:h="16838" w:w="11906"/>
      <w:pgMar w:left="1417" w:top="1417" w:right="1417" w:bottom="1134" w:header="0" w:footer="708"/>
      <w:paperSrc w:first="0" w:other="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Arial">
    <w:charset w:val="00"/>
    <w:family w:val="swiss"/>
    <w:pitch w:val="default"/>
  </w:font>
  <w:font w:name="Calibri">
    <w:charset w:val="00"/>
    <w:family w:val="swiss"/>
    <w:pitch w:val="default"/>
  </w:font>
  <w:font w:name="Calibri Light">
    <w:charset w:val="00"/>
    <w:family w:val="swiss"/>
    <w:pitch w:val="default"/>
  </w:font>
  <w:font w:name="Tahoma">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spacing/>
      <w:jc w:val="center"/>
    </w:pPr>
    <w:r>
      <w:fldChar w:fldCharType="begin"/>
      <w:instrText xml:space="preserve"> PAGE </w:instrText>
      <w:fldChar w:fldCharType="separate"/>
      <w:t>4</w:t>
      <w:fldChar w:fldCharType="end"/>
    </w:r>
  </w:p>
  <w:p>
    <w:pPr>
      <w:pStyle w:val="para6"/>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merierungsliste 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3">
    <w:multiLevelType w:val="hybridMultilevel"/>
    <w:name w:val="Nummerierungsliste 3"/>
    <w:lvl w:ilvl="0">
      <w:numFmt w:val="bullet"/>
      <w:suff w:val="tab"/>
      <w:lvlText w:val="•"/>
      <w:lvlJc w:val="left"/>
      <w:pPr>
        <w:ind w:left="360" w:hanging="0"/>
      </w:pPr>
      <w:rPr>
        <w:rFonts w:ascii="Arial" w:hAnsi="Arial"/>
      </w:rPr>
    </w:lvl>
    <w:lvl w:ilvl="1">
      <w:numFmt w:val="bullet"/>
      <w:suff w:val="tab"/>
      <w:lvlText w:val="•"/>
      <w:lvlJc w:val="left"/>
      <w:pPr>
        <w:ind w:left="1080" w:hanging="0"/>
      </w:pPr>
      <w:rPr>
        <w:rFonts w:ascii="Arial" w:hAnsi="Arial"/>
      </w:rPr>
    </w:lvl>
    <w:lvl w:ilvl="2">
      <w:numFmt w:val="bullet"/>
      <w:suff w:val="tab"/>
      <w:lvlText w:val="•"/>
      <w:lvlJc w:val="left"/>
      <w:pPr>
        <w:ind w:left="1800" w:hanging="0"/>
      </w:pPr>
      <w:rPr>
        <w:rFonts w:ascii="Arial" w:hAnsi="Arial"/>
      </w:rPr>
    </w:lvl>
    <w:lvl w:ilvl="3">
      <w:numFmt w:val="bullet"/>
      <w:suff w:val="tab"/>
      <w:lvlText w:val="•"/>
      <w:lvlJc w:val="left"/>
      <w:pPr>
        <w:ind w:left="2520" w:hanging="0"/>
      </w:pPr>
      <w:rPr>
        <w:rFonts w:ascii="Arial" w:hAnsi="Arial"/>
      </w:rPr>
    </w:lvl>
    <w:lvl w:ilvl="4">
      <w:numFmt w:val="bullet"/>
      <w:suff w:val="tab"/>
      <w:lvlText w:val="•"/>
      <w:lvlJc w:val="left"/>
      <w:pPr>
        <w:ind w:left="3240" w:hanging="0"/>
      </w:pPr>
      <w:rPr>
        <w:rFonts w:ascii="Arial" w:hAnsi="Arial"/>
      </w:rPr>
    </w:lvl>
    <w:lvl w:ilvl="5">
      <w:numFmt w:val="bullet"/>
      <w:suff w:val="tab"/>
      <w:lvlText w:val="•"/>
      <w:lvlJc w:val="left"/>
      <w:pPr>
        <w:ind w:left="3960" w:hanging="0"/>
      </w:pPr>
      <w:rPr>
        <w:rFonts w:ascii="Arial" w:hAnsi="Arial"/>
      </w:rPr>
    </w:lvl>
    <w:lvl w:ilvl="6">
      <w:numFmt w:val="bullet"/>
      <w:suff w:val="tab"/>
      <w:lvlText w:val="•"/>
      <w:lvlJc w:val="left"/>
      <w:pPr>
        <w:ind w:left="4680" w:hanging="0"/>
      </w:pPr>
      <w:rPr>
        <w:rFonts w:ascii="Arial" w:hAnsi="Arial"/>
      </w:rPr>
    </w:lvl>
    <w:lvl w:ilvl="7">
      <w:numFmt w:val="bullet"/>
      <w:suff w:val="tab"/>
      <w:lvlText w:val="•"/>
      <w:lvlJc w:val="left"/>
      <w:pPr>
        <w:ind w:left="5400" w:hanging="0"/>
      </w:pPr>
      <w:rPr>
        <w:rFonts w:ascii="Arial" w:hAnsi="Arial"/>
      </w:rPr>
    </w:lvl>
    <w:lvl w:ilvl="8">
      <w:numFmt w:val="bullet"/>
      <w:suff w:val="tab"/>
      <w:lvlText w:val="•"/>
      <w:lvlJc w:val="left"/>
      <w:pPr>
        <w:ind w:left="6120" w:hanging="0"/>
      </w:pPr>
      <w:rPr>
        <w:rFonts w:ascii="Arial" w:hAnsi="Arial"/>
      </w:rPr>
    </w:lvl>
  </w:abstractNum>
  <w:abstractNum w:abstractNumId="4">
    <w:multiLevelType w:val="hybridMultilevel"/>
    <w:name w:val="Nummerierungsliste 4"/>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5">
    <w:multiLevelType w:val="hybridMultilevel"/>
    <w:name w:val="Nummerierungsliste 5"/>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104"/>
      <w:tmLastPosIdx w:val="30"/>
    </w:tmLastPosCaret>
    <w:tmLastPosAnchor>
      <w:tmLastPosPgfIdx w:val="0"/>
      <w:tmLastPosIdx w:val="0"/>
    </w:tmLastPosAnchor>
    <w:tmLastPosTblRect w:left="0" w:top="0" w:right="0" w:bottom="0"/>
  </w:tmLastPos>
  <w:tmAppRevision w:date="1710314998" w:val="98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cs="Times New Roman"/>
      <w:b/>
      <w:bCs/>
      <w:kern w:val="1"/>
      <w:sz w:val="48"/>
      <w:szCs w:val="48"/>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4">
    <w:name w:val="List Paragraph"/>
    <w:qFormat/>
    <w:basedOn w:val="para0"/>
    <w:pPr>
      <w:ind w:left="720"/>
      <w:contextualSpacing/>
    </w:pPr>
  </w:style>
  <w:style w:type="paragraph" w:styleId="para5">
    <w:name w:val="Header"/>
    <w:qFormat/>
    <w:basedOn w:val="para0"/>
    <w:pPr>
      <w:spacing w:after="0" w:line="240" w:lineRule="auto"/>
      <w:tabs defTabSz="708">
        <w:tab w:val="center" w:pos="4536" w:leader="none"/>
        <w:tab w:val="right" w:pos="9072" w:leader="none"/>
      </w:tabs>
    </w:pPr>
  </w:style>
  <w:style w:type="paragraph" w:styleId="para6">
    <w:name w:val="Footer"/>
    <w:qFormat/>
    <w:basedOn w:val="para0"/>
    <w:pPr>
      <w:spacing w:after="0" w:line="240" w:lineRule="auto"/>
      <w:tabs defTabSz="708">
        <w:tab w:val="center" w:pos="4536" w:leader="none"/>
        <w:tab w:val="right" w:pos="9072" w:leader="none"/>
      </w:tabs>
    </w:pPr>
  </w:style>
  <w:style w:type="paragraph" w:styleId="para7">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Überschrift 1 Zchn"/>
    <w:basedOn w:val="char0"/>
    <w:rPr>
      <w:rFonts w:ascii="Times New Roman" w:hAnsi="Times New Roman" w:eastAsia="Times New Roman" w:cs="Times New Roman"/>
      <w:b/>
      <w:bCs/>
      <w:kern w:val="1"/>
      <w:sz w:val="48"/>
      <w:szCs w:val="48"/>
    </w:rPr>
  </w:style>
  <w:style w:type="character" w:styleId="char2">
    <w:name w:val="Hyperlink"/>
    <w:basedOn w:val="char0"/>
    <w:rPr>
      <w:color w:val="0000ff"/>
      <w:u w:color="auto" w:val="single"/>
    </w:rPr>
  </w:style>
  <w:style w:type="character" w:styleId="char3" w:customStyle="1">
    <w:name w:val="Überschrift 2 Zchn"/>
    <w:basedOn w:val="char0"/>
    <w:rPr>
      <w:rFonts w:ascii="Calibri Light" w:hAnsi="Calibri Light" w:eastAsia="Calibri Light"/>
      <w:color w:val="2e74b5"/>
      <w:sz w:val="26"/>
      <w:szCs w:val="26"/>
    </w:rPr>
  </w:style>
  <w:style w:type="character" w:styleId="char4" w:customStyle="1">
    <w:name w:val="tocnumber"/>
    <w:basedOn w:val="char0"/>
  </w:style>
  <w:style w:type="character" w:styleId="char5" w:customStyle="1">
    <w:name w:val="toctext"/>
    <w:basedOn w:val="char0"/>
  </w:style>
  <w:style w:type="character" w:styleId="char6" w:customStyle="1">
    <w:name w:val="mw-headline"/>
    <w:basedOn w:val="char0"/>
  </w:style>
  <w:style w:type="character" w:styleId="char7" w:customStyle="1">
    <w:name w:val="Kopfzeile Zchn"/>
    <w:basedOn w:val="char0"/>
  </w:style>
  <w:style w:type="character" w:styleId="char8" w:customStyle="1">
    <w:name w:val="Fußzeile Zchn"/>
    <w:basedOn w:val="char0"/>
  </w:style>
  <w:style w:type="character" w:styleId="char9" w:customStyle="1">
    <w:name w:val="Sprechblasentext Zchn"/>
    <w:basedOn w:val="char0"/>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cs="Times New Roman"/>
      <w:b/>
      <w:bCs/>
      <w:kern w:val="1"/>
      <w:sz w:val="48"/>
      <w:szCs w:val="48"/>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4">
    <w:name w:val="List Paragraph"/>
    <w:qFormat/>
    <w:basedOn w:val="para0"/>
    <w:pPr>
      <w:ind w:left="720"/>
      <w:contextualSpacing/>
    </w:pPr>
  </w:style>
  <w:style w:type="paragraph" w:styleId="para5">
    <w:name w:val="Header"/>
    <w:qFormat/>
    <w:basedOn w:val="para0"/>
    <w:pPr>
      <w:spacing w:after="0" w:line="240" w:lineRule="auto"/>
      <w:tabs defTabSz="708">
        <w:tab w:val="center" w:pos="4536" w:leader="none"/>
        <w:tab w:val="right" w:pos="9072" w:leader="none"/>
      </w:tabs>
    </w:pPr>
  </w:style>
  <w:style w:type="paragraph" w:styleId="para6">
    <w:name w:val="Footer"/>
    <w:qFormat/>
    <w:basedOn w:val="para0"/>
    <w:pPr>
      <w:spacing w:after="0" w:line="240" w:lineRule="auto"/>
      <w:tabs defTabSz="708">
        <w:tab w:val="center" w:pos="4536" w:leader="none"/>
        <w:tab w:val="right" w:pos="9072" w:leader="none"/>
      </w:tabs>
    </w:pPr>
  </w:style>
  <w:style w:type="paragraph" w:styleId="para7">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Überschrift 1 Zchn"/>
    <w:basedOn w:val="char0"/>
    <w:rPr>
      <w:rFonts w:ascii="Times New Roman" w:hAnsi="Times New Roman" w:eastAsia="Times New Roman" w:cs="Times New Roman"/>
      <w:b/>
      <w:bCs/>
      <w:kern w:val="1"/>
      <w:sz w:val="48"/>
      <w:szCs w:val="48"/>
    </w:rPr>
  </w:style>
  <w:style w:type="character" w:styleId="char2">
    <w:name w:val="Hyperlink"/>
    <w:basedOn w:val="char0"/>
    <w:rPr>
      <w:color w:val="0000ff"/>
      <w:u w:color="auto" w:val="single"/>
    </w:rPr>
  </w:style>
  <w:style w:type="character" w:styleId="char3" w:customStyle="1">
    <w:name w:val="Überschrift 2 Zchn"/>
    <w:basedOn w:val="char0"/>
    <w:rPr>
      <w:rFonts w:ascii="Calibri Light" w:hAnsi="Calibri Light" w:eastAsia="Calibri Light"/>
      <w:color w:val="2e74b5"/>
      <w:sz w:val="26"/>
      <w:szCs w:val="26"/>
    </w:rPr>
  </w:style>
  <w:style w:type="character" w:styleId="char4" w:customStyle="1">
    <w:name w:val="tocnumber"/>
    <w:basedOn w:val="char0"/>
  </w:style>
  <w:style w:type="character" w:styleId="char5" w:customStyle="1">
    <w:name w:val="toctext"/>
    <w:basedOn w:val="char0"/>
  </w:style>
  <w:style w:type="character" w:styleId="char6" w:customStyle="1">
    <w:name w:val="mw-headline"/>
    <w:basedOn w:val="char0"/>
  </w:style>
  <w:style w:type="character" w:styleId="char7" w:customStyle="1">
    <w:name w:val="Kopfzeile Zchn"/>
    <w:basedOn w:val="char0"/>
  </w:style>
  <w:style w:type="character" w:styleId="char8" w:customStyle="1">
    <w:name w:val="Fußzeile Zchn"/>
    <w:basedOn w:val="char0"/>
  </w:style>
  <w:style w:type="character" w:styleId="char9" w:customStyle="1">
    <w:name w:val="Sprechblasentext Zchn"/>
    <w:basedOn w:val="char0"/>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de.wikipedia.org/wiki/Henry_McMahon" TargetMode="External"/><Relationship Id="rId9" Type="http://schemas.openxmlformats.org/officeDocument/2006/relationships/hyperlink" Target="https://de.wikipedia.org/wiki/&#196;gypten" TargetMode="External"/><Relationship Id="rId10" Type="http://schemas.openxmlformats.org/officeDocument/2006/relationships/hyperlink" Target="https://de.wikipedia.org/wiki/Datei:Henry_McMahon_cropped.JPG" TargetMode="External"/><Relationship Id="rId11" Type="http://schemas.openxmlformats.org/officeDocument/2006/relationships/image" Target="media/image1.jpeg"/><Relationship Id="rId12" Type="http://schemas.openxmlformats.org/officeDocument/2006/relationships/hyperlink" Target="https://de.wikipedia.org/wiki/Datei:Henry_McMahon_cropped.JPG" TargetMode="External"/><Relationship Id="rId13" Type="http://schemas.openxmlformats.org/officeDocument/2006/relationships/hyperlink" Target="https://de.wikipedia.org/wiki/Datei:Sharif_Husayn_cropped.JPG" TargetMode="External"/><Relationship Id="rId14" Type="http://schemas.openxmlformats.org/officeDocument/2006/relationships/image" Target="media/image2.jpeg"/><Relationship Id="rId15" Type="http://schemas.openxmlformats.org/officeDocument/2006/relationships/hyperlink" Target="https://de.wikipedia.org/wiki/Datei:Sharif_Husayn_cropped.JPG" TargetMode="External"/><Relationship Id="rId16" Type="http://schemas.openxmlformats.org/officeDocument/2006/relationships/hyperlink" Target="https://commons.wikimedia.org/wiki/File:Sharif_Husayn_cropped.JPG#/media/File:Sharif_Husayn_cropped.JPG" TargetMode="External"/><Relationship Id="rId17" Type="http://schemas.openxmlformats.org/officeDocument/2006/relationships/hyperlink" Target="https://commons.wikimedia.org/w/index.php?curid=46996625" TargetMode="External"/><Relationship Id="rId18" Type="http://schemas.openxmlformats.org/officeDocument/2006/relationships/hyperlink" Target="https://www.aref.de/kalenderblatt/mehr/palaestina_hussein-mcmahon-korrespondenz.htm" TargetMode="External"/><Relationship Id="rId19" Type="http://schemas.openxmlformats.org/officeDocument/2006/relationships/hyperlink" Target="https://en.wikisource.org/wiki/The_Sykes&#8211;Picot_Agreement" TargetMode="External"/><Relationship Id="rId20" Type="http://schemas.openxmlformats.org/officeDocument/2006/relationships/hyperlink" Target="https://commons.wikimedia.org/wiki/Category:Sykes-Picot_Agreement?uselang=de" TargetMode="External"/><Relationship Id="rId21" Type="http://schemas.openxmlformats.org/officeDocument/2006/relationships/hyperlink" Target="https://de.wikipedia.org/wiki/Balfour-Deklaration" TargetMode="External"/><Relationship Id="rId22" Type="http://schemas.openxmlformats.org/officeDocument/2006/relationships/hyperlink" Target="https://de.wikipedia.org/wiki/V%C3%B6lkerbundsmandat_f%C3%BCr_Pal%C3%A4stina" TargetMode="External"/><Relationship Id="rId23" Type="http://schemas.openxmlformats.org/officeDocument/2006/relationships/image" Target="media/image3.png"/><Relationship Id="rId24" Type="http://schemas.openxmlformats.org/officeDocument/2006/relationships/hyperlink" Target="https://commons.wikimedia.org/wiki/File:BritishMandatePalestine1920-de.svg#/media/File:BritishMandatePalestine1920-de.svg" TargetMode="External"/><Relationship Id="rId25" Type="http://schemas.openxmlformats.org/officeDocument/2006/relationships/hyperlink" Target="http://www.un.org/depts/german/gv-early/ar181-ii.pdf" TargetMode="External"/><Relationship Id="rId26" Type="http://schemas.openxmlformats.org/officeDocument/2006/relationships/image" Target="media/image4.png"/><Relationship Id="rId27" Type="http://schemas.openxmlformats.org/officeDocument/2006/relationships/hyperlink" Target="https://commons.wikimedia.o#rg/wiki/File:UN_Partition_Plan_For_Palestine_1947_de.svg" TargetMode="External"/><Relationship Id="rId28" Type="http://schemas.openxmlformats.org/officeDocument/2006/relationships/hyperlink" Target="https://de.wikipedia.org/wiki/Israelische_Unabh&#228;ngigkeitserkl&#228;rung#Deutsche_.C3.9Cbersetzung" TargetMode="External"/><Relationship Id="rId29" Type="http://schemas.openxmlformats.org/officeDocument/2006/relationships/hyperlink" Target="http://www.un.org/depts/german/sr/sr_67/sr242-67.pdf" TargetMode="External"/><Relationship Id="rId30" Type="http://schemas.openxmlformats.org/officeDocument/2006/relationships/hyperlink" Target="https://www.efg-hohenstaufenstr.de/downloads/texte/plo_charta.html" TargetMode="External"/><Relationship Id="rId31" Type="http://schemas.openxmlformats.org/officeDocument/2006/relationships/hyperlink" Target="https://www.youtube.com/watch?v=TjrGyWa4AQ0" TargetMode="External"/><Relationship Id="rId32" Type="http://schemas.openxmlformats.org/officeDocument/2006/relationships/hyperlink" Target="https://www.youtube.com/watch?v=DBguAJI1M-U" TargetMode="External"/><Relationship Id="rId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
  <cp:revision>4</cp:revision>
  <cp:lastPrinted>2017-05-13T15:33:00Z</cp:lastPrinted>
  <dcterms:created xsi:type="dcterms:W3CDTF">2017-10-16T18:44:00Z</dcterms:created>
  <dcterms:modified xsi:type="dcterms:W3CDTF">2024-03-13T07:29:58Z</dcterms:modified>
</cp:coreProperties>
</file>