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C1F" w:rsidRPr="00115C1F" w:rsidRDefault="00115C1F" w:rsidP="00115C1F">
      <w:pPr>
        <w:spacing w:before="120" w:after="120"/>
        <w:rPr>
          <w:rFonts w:eastAsiaTheme="minorEastAsia" w:cstheme="minorHAnsi"/>
          <w:b/>
          <w:bCs/>
          <w:color w:val="000000" w:themeColor="text1"/>
          <w:kern w:val="24"/>
          <w:sz w:val="28"/>
          <w:szCs w:val="28"/>
        </w:rPr>
      </w:pPr>
      <w:r>
        <w:rPr>
          <w:rFonts w:eastAsiaTheme="minorEastAsia" w:cstheme="minorHAnsi"/>
          <w:b/>
          <w:bCs/>
          <w:color w:val="000000" w:themeColor="text1"/>
          <w:kern w:val="24"/>
          <w:sz w:val="28"/>
          <w:szCs w:val="28"/>
        </w:rPr>
        <w:t xml:space="preserve">Thesen aus </w:t>
      </w:r>
      <w:r w:rsidR="00C82E80" w:rsidRPr="00115C1F">
        <w:rPr>
          <w:rFonts w:eastAsiaTheme="minorEastAsia" w:cstheme="minorHAnsi"/>
          <w:b/>
          <w:bCs/>
          <w:color w:val="000000" w:themeColor="text1"/>
          <w:kern w:val="24"/>
          <w:sz w:val="28"/>
          <w:szCs w:val="28"/>
        </w:rPr>
        <w:t xml:space="preserve">Ulrich Herberts Theorie der Hochmoderne (High </w:t>
      </w:r>
      <w:proofErr w:type="spellStart"/>
      <w:r w:rsidR="00C82E80" w:rsidRPr="00115C1F">
        <w:rPr>
          <w:rFonts w:eastAsiaTheme="minorEastAsia" w:cstheme="minorHAnsi"/>
          <w:b/>
          <w:bCs/>
          <w:color w:val="000000" w:themeColor="text1"/>
          <w:kern w:val="24"/>
          <w:sz w:val="28"/>
          <w:szCs w:val="28"/>
        </w:rPr>
        <w:t>Modernity</w:t>
      </w:r>
      <w:proofErr w:type="spellEnd"/>
      <w:r w:rsidR="00C82E80" w:rsidRPr="00115C1F">
        <w:rPr>
          <w:rFonts w:eastAsiaTheme="minorEastAsia" w:cstheme="minorHAnsi"/>
          <w:b/>
          <w:bCs/>
          <w:color w:val="000000" w:themeColor="text1"/>
          <w:kern w:val="24"/>
          <w:sz w:val="28"/>
          <w:szCs w:val="28"/>
        </w:rPr>
        <w:t>)</w:t>
      </w:r>
      <w:r w:rsidRPr="00115C1F">
        <w:rPr>
          <w:rFonts w:eastAsiaTheme="minorEastAsia" w:cstheme="minorHAnsi"/>
          <w:b/>
          <w:bCs/>
          <w:color w:val="000000" w:themeColor="text1"/>
          <w:kern w:val="24"/>
          <w:sz w:val="28"/>
          <w:szCs w:val="28"/>
        </w:rPr>
        <w:t xml:space="preserve"> mit Bezug zum Bildungsplan 2016, Kursstufe</w:t>
      </w:r>
    </w:p>
    <w:p w:rsidR="00115C1F" w:rsidRDefault="00115C1F" w:rsidP="00115C1F">
      <w:pPr>
        <w:spacing w:before="120" w:after="120" w:line="240" w:lineRule="auto"/>
        <w:rPr>
          <w:rFonts w:eastAsiaTheme="minorEastAsia" w:cstheme="minorHAnsi"/>
          <w:b/>
          <w:iCs/>
          <w:color w:val="000000" w:themeColor="text1"/>
          <w:kern w:val="24"/>
          <w:sz w:val="24"/>
          <w:szCs w:val="24"/>
          <w:u w:val="single"/>
        </w:rPr>
      </w:pPr>
    </w:p>
    <w:p w:rsidR="00115C1F" w:rsidRPr="00115C1F" w:rsidRDefault="00115C1F" w:rsidP="00115C1F">
      <w:pPr>
        <w:spacing w:before="120" w:after="120" w:line="240" w:lineRule="auto"/>
        <w:rPr>
          <w:rFonts w:eastAsiaTheme="minorEastAsia" w:cstheme="minorHAnsi"/>
          <w:b/>
          <w:iCs/>
          <w:color w:val="000000" w:themeColor="text1"/>
          <w:kern w:val="24"/>
          <w:sz w:val="24"/>
          <w:szCs w:val="24"/>
          <w:u w:val="single"/>
        </w:rPr>
      </w:pPr>
      <w:r w:rsidRPr="00115C1F">
        <w:rPr>
          <w:rFonts w:eastAsiaTheme="minorEastAsia" w:cstheme="minorHAnsi"/>
          <w:b/>
          <w:iCs/>
          <w:color w:val="000000" w:themeColor="text1"/>
          <w:kern w:val="24"/>
          <w:sz w:val="24"/>
          <w:szCs w:val="24"/>
          <w:u w:val="single"/>
        </w:rPr>
        <w:t>Literatur:</w:t>
      </w:r>
    </w:p>
    <w:p w:rsidR="00C82E80" w:rsidRPr="00115C1F" w:rsidRDefault="00C82E80" w:rsidP="00115C1F">
      <w:pPr>
        <w:spacing w:before="120" w:after="120" w:line="240" w:lineRule="auto"/>
        <w:rPr>
          <w:rFonts w:eastAsiaTheme="minorEastAsia" w:cstheme="minorHAnsi"/>
          <w:color w:val="000000" w:themeColor="text1"/>
          <w:kern w:val="24"/>
          <w:sz w:val="24"/>
          <w:szCs w:val="24"/>
        </w:rPr>
      </w:pPr>
      <w:r w:rsidRPr="00115C1F">
        <w:rPr>
          <w:rFonts w:eastAsiaTheme="minorEastAsia" w:cstheme="minorHAnsi"/>
          <w:iCs/>
          <w:color w:val="000000" w:themeColor="text1"/>
          <w:kern w:val="24"/>
          <w:sz w:val="24"/>
          <w:szCs w:val="24"/>
        </w:rPr>
        <w:t xml:space="preserve">Europe in High </w:t>
      </w:r>
      <w:proofErr w:type="spellStart"/>
      <w:r w:rsidRPr="00115C1F">
        <w:rPr>
          <w:rFonts w:eastAsiaTheme="minorEastAsia" w:cstheme="minorHAnsi"/>
          <w:iCs/>
          <w:color w:val="000000" w:themeColor="text1"/>
          <w:kern w:val="24"/>
          <w:sz w:val="24"/>
          <w:szCs w:val="24"/>
        </w:rPr>
        <w:t>Modernity</w:t>
      </w:r>
      <w:proofErr w:type="spellEnd"/>
      <w:r w:rsidRPr="00115C1F">
        <w:rPr>
          <w:rFonts w:eastAsiaTheme="minorEastAsia" w:cstheme="minorHAnsi"/>
          <w:iCs/>
          <w:color w:val="000000" w:themeColor="text1"/>
          <w:kern w:val="24"/>
          <w:sz w:val="24"/>
          <w:szCs w:val="24"/>
        </w:rPr>
        <w:t xml:space="preserve">. </w:t>
      </w:r>
      <w:proofErr w:type="spellStart"/>
      <w:r w:rsidRPr="00115C1F">
        <w:rPr>
          <w:rFonts w:eastAsiaTheme="minorEastAsia" w:cstheme="minorHAnsi"/>
          <w:iCs/>
          <w:color w:val="000000" w:themeColor="text1"/>
          <w:kern w:val="24"/>
          <w:sz w:val="24"/>
          <w:szCs w:val="24"/>
        </w:rPr>
        <w:t>Reflections</w:t>
      </w:r>
      <w:proofErr w:type="spellEnd"/>
      <w:r w:rsidRPr="00115C1F">
        <w:rPr>
          <w:rFonts w:eastAsiaTheme="minorEastAsia" w:cstheme="minorHAnsi"/>
          <w:iCs/>
          <w:color w:val="000000" w:themeColor="text1"/>
          <w:kern w:val="24"/>
          <w:sz w:val="24"/>
          <w:szCs w:val="24"/>
        </w:rPr>
        <w:t xml:space="preserve"> on a Theory </w:t>
      </w:r>
      <w:proofErr w:type="spellStart"/>
      <w:r w:rsidRPr="00115C1F">
        <w:rPr>
          <w:rFonts w:eastAsiaTheme="minorEastAsia" w:cstheme="minorHAnsi"/>
          <w:iCs/>
          <w:color w:val="000000" w:themeColor="text1"/>
          <w:kern w:val="24"/>
          <w:sz w:val="24"/>
          <w:szCs w:val="24"/>
        </w:rPr>
        <w:t>of</w:t>
      </w:r>
      <w:proofErr w:type="spellEnd"/>
      <w:r w:rsidRPr="00115C1F">
        <w:rPr>
          <w:rFonts w:eastAsiaTheme="minorEastAsia" w:cstheme="minorHAnsi"/>
          <w:iCs/>
          <w:color w:val="000000" w:themeColor="text1"/>
          <w:kern w:val="24"/>
          <w:sz w:val="24"/>
          <w:szCs w:val="24"/>
        </w:rPr>
        <w:t xml:space="preserve"> </w:t>
      </w:r>
      <w:proofErr w:type="spellStart"/>
      <w:r w:rsidRPr="00115C1F">
        <w:rPr>
          <w:rFonts w:eastAsiaTheme="minorEastAsia" w:cstheme="minorHAnsi"/>
          <w:iCs/>
          <w:color w:val="000000" w:themeColor="text1"/>
          <w:kern w:val="24"/>
          <w:sz w:val="24"/>
          <w:szCs w:val="24"/>
        </w:rPr>
        <w:t>the</w:t>
      </w:r>
      <w:proofErr w:type="spellEnd"/>
      <w:r w:rsidRPr="00115C1F">
        <w:rPr>
          <w:rFonts w:eastAsiaTheme="minorEastAsia" w:cstheme="minorHAnsi"/>
          <w:iCs/>
          <w:color w:val="000000" w:themeColor="text1"/>
          <w:kern w:val="24"/>
          <w:sz w:val="24"/>
          <w:szCs w:val="24"/>
        </w:rPr>
        <w:t xml:space="preserve"> 20th Century, in: Journal </w:t>
      </w:r>
      <w:proofErr w:type="spellStart"/>
      <w:r w:rsidRPr="00115C1F">
        <w:rPr>
          <w:rFonts w:eastAsiaTheme="minorEastAsia" w:cstheme="minorHAnsi"/>
          <w:iCs/>
          <w:color w:val="000000" w:themeColor="text1"/>
          <w:kern w:val="24"/>
          <w:sz w:val="24"/>
          <w:szCs w:val="24"/>
        </w:rPr>
        <w:t>of</w:t>
      </w:r>
      <w:proofErr w:type="spellEnd"/>
      <w:r w:rsidRPr="00115C1F">
        <w:rPr>
          <w:rFonts w:eastAsiaTheme="minorEastAsia" w:cstheme="minorHAnsi"/>
          <w:iCs/>
          <w:color w:val="000000" w:themeColor="text1"/>
          <w:kern w:val="24"/>
          <w:sz w:val="24"/>
          <w:szCs w:val="24"/>
        </w:rPr>
        <w:t xml:space="preserve"> </w:t>
      </w:r>
      <w:proofErr w:type="gramStart"/>
      <w:r w:rsidRPr="00115C1F">
        <w:rPr>
          <w:rFonts w:eastAsiaTheme="minorEastAsia" w:cstheme="minorHAnsi"/>
          <w:iCs/>
          <w:color w:val="000000" w:themeColor="text1"/>
          <w:kern w:val="24"/>
          <w:sz w:val="24"/>
          <w:szCs w:val="24"/>
        </w:rPr>
        <w:t>Modern</w:t>
      </w:r>
      <w:proofErr w:type="gramEnd"/>
      <w:r w:rsidRPr="00115C1F">
        <w:rPr>
          <w:rFonts w:eastAsiaTheme="minorEastAsia" w:cstheme="minorHAnsi"/>
          <w:iCs/>
          <w:color w:val="000000" w:themeColor="text1"/>
          <w:kern w:val="24"/>
          <w:sz w:val="24"/>
          <w:szCs w:val="24"/>
        </w:rPr>
        <w:t xml:space="preserve"> European </w:t>
      </w:r>
      <w:proofErr w:type="spellStart"/>
      <w:r w:rsidRPr="00115C1F">
        <w:rPr>
          <w:rFonts w:eastAsiaTheme="minorEastAsia" w:cstheme="minorHAnsi"/>
          <w:iCs/>
          <w:color w:val="000000" w:themeColor="text1"/>
          <w:kern w:val="24"/>
          <w:sz w:val="24"/>
          <w:szCs w:val="24"/>
        </w:rPr>
        <w:t>History</w:t>
      </w:r>
      <w:proofErr w:type="spellEnd"/>
      <w:r w:rsidRPr="00115C1F">
        <w:rPr>
          <w:rFonts w:eastAsiaTheme="minorEastAsia" w:cstheme="minorHAnsi"/>
          <w:iCs/>
          <w:color w:val="000000" w:themeColor="text1"/>
          <w:kern w:val="24"/>
          <w:sz w:val="24"/>
          <w:szCs w:val="24"/>
        </w:rPr>
        <w:t xml:space="preserve"> 5 (2007), S. 5-20</w:t>
      </w:r>
    </w:p>
    <w:p w:rsidR="00C82E80" w:rsidRDefault="00C82E80" w:rsidP="00115C1F">
      <w:pPr>
        <w:pStyle w:val="Listenabsatz"/>
        <w:spacing w:before="120" w:after="120"/>
        <w:ind w:left="0"/>
        <w:rPr>
          <w:rFonts w:asciiTheme="minorHAnsi" w:eastAsiaTheme="minorHAnsi" w:hAnsiTheme="minorHAnsi" w:cstheme="minorBidi"/>
          <w:lang w:eastAsia="en-US"/>
        </w:rPr>
      </w:pPr>
    </w:p>
    <w:p w:rsidR="00115C1F" w:rsidRPr="00115C1F" w:rsidRDefault="00115C1F" w:rsidP="00115C1F">
      <w:pPr>
        <w:pStyle w:val="Listenabsatz"/>
        <w:spacing w:before="120" w:after="120"/>
        <w:ind w:left="0"/>
        <w:rPr>
          <w:rFonts w:asciiTheme="minorHAnsi" w:eastAsiaTheme="minorHAnsi" w:hAnsiTheme="minorHAnsi" w:cstheme="minorBidi"/>
          <w:b/>
          <w:u w:val="single"/>
          <w:lang w:eastAsia="en-US"/>
        </w:rPr>
      </w:pPr>
      <w:r w:rsidRPr="00115C1F">
        <w:rPr>
          <w:rFonts w:asciiTheme="minorHAnsi" w:eastAsiaTheme="minorHAnsi" w:hAnsiTheme="minorHAnsi" w:cstheme="minorBidi"/>
          <w:b/>
          <w:u w:val="single"/>
          <w:lang w:eastAsia="en-US"/>
        </w:rPr>
        <w:t>Vorbemerkungen:</w:t>
      </w:r>
    </w:p>
    <w:p w:rsidR="00711529" w:rsidRPr="00D5067F" w:rsidRDefault="00711529" w:rsidP="00115C1F">
      <w:pPr>
        <w:pStyle w:val="Listenabsatz"/>
        <w:numPr>
          <w:ilvl w:val="0"/>
          <w:numId w:val="3"/>
        </w:numPr>
        <w:spacing w:before="120" w:after="120"/>
        <w:ind w:left="0" w:firstLine="0"/>
        <w:rPr>
          <w:rFonts w:asciiTheme="minorHAnsi" w:eastAsiaTheme="minorHAnsi" w:hAnsiTheme="minorHAnsi" w:cstheme="minorBidi"/>
          <w:lang w:eastAsia="en-US"/>
        </w:rPr>
      </w:pPr>
      <w:r w:rsidRPr="00D5067F">
        <w:rPr>
          <w:rFonts w:asciiTheme="minorHAnsi" w:eastAsiaTheme="minorHAnsi" w:hAnsiTheme="minorHAnsi" w:cstheme="minorBidi"/>
          <w:lang w:eastAsia="en-US"/>
        </w:rPr>
        <w:t>Abkehr von nationaler Geschichtsschreibung und Hinwendung zu transnationalen Prozessen</w:t>
      </w:r>
    </w:p>
    <w:p w:rsidR="00444EC3" w:rsidRPr="00D5067F" w:rsidRDefault="00444EC3" w:rsidP="00115C1F">
      <w:pPr>
        <w:pStyle w:val="Listenabsatz"/>
        <w:numPr>
          <w:ilvl w:val="0"/>
          <w:numId w:val="3"/>
        </w:numPr>
        <w:spacing w:before="120" w:after="120"/>
        <w:ind w:left="0" w:firstLine="0"/>
        <w:rPr>
          <w:rFonts w:asciiTheme="minorHAnsi" w:eastAsiaTheme="minorHAnsi" w:hAnsiTheme="minorHAnsi" w:cstheme="minorBidi"/>
          <w:lang w:eastAsia="en-US"/>
        </w:rPr>
      </w:pPr>
      <w:r w:rsidRPr="00D5067F">
        <w:rPr>
          <w:rFonts w:asciiTheme="minorHAnsi" w:eastAsiaTheme="minorHAnsi" w:hAnsiTheme="minorHAnsi" w:cstheme="minorBidi"/>
          <w:lang w:eastAsia="en-US"/>
        </w:rPr>
        <w:t>Versuch, die politisch tief zerfurchten Jahre zwischen 1890 und 1970 als kohärente historische Einheit zu begreifen</w:t>
      </w:r>
    </w:p>
    <w:p w:rsidR="00711529" w:rsidRPr="00D5067F" w:rsidRDefault="00711529" w:rsidP="00115C1F">
      <w:pPr>
        <w:pStyle w:val="Listenabsatz"/>
        <w:numPr>
          <w:ilvl w:val="0"/>
          <w:numId w:val="3"/>
        </w:numPr>
        <w:spacing w:before="120" w:after="120"/>
        <w:ind w:left="0" w:firstLine="0"/>
        <w:rPr>
          <w:rFonts w:asciiTheme="minorHAnsi" w:eastAsiaTheme="minorHAnsi" w:hAnsiTheme="minorHAnsi" w:cstheme="minorBidi"/>
          <w:lang w:eastAsia="en-US"/>
        </w:rPr>
      </w:pPr>
      <w:r w:rsidRPr="00D5067F">
        <w:rPr>
          <w:rFonts w:asciiTheme="minorHAnsi" w:eastAsiaTheme="minorHAnsi" w:hAnsiTheme="minorHAnsi" w:cstheme="minorBidi"/>
          <w:lang w:eastAsia="en-US"/>
        </w:rPr>
        <w:t>Zeitraum ab 1880 – 1970 als Teilepoche der europäischen Moderne, in der sich die Übergänge aus älteren Sozial- und Herrschaftsstrukturen breitenwirksam entfalteten</w:t>
      </w:r>
    </w:p>
    <w:p w:rsidR="00711529" w:rsidRPr="00D5067F" w:rsidRDefault="00711529" w:rsidP="00115C1F">
      <w:pPr>
        <w:pStyle w:val="Listenabsatz"/>
        <w:numPr>
          <w:ilvl w:val="0"/>
          <w:numId w:val="3"/>
        </w:numPr>
        <w:spacing w:before="120" w:after="120"/>
        <w:ind w:left="0" w:firstLine="0"/>
        <w:rPr>
          <w:rFonts w:asciiTheme="minorHAnsi" w:eastAsiaTheme="minorHAnsi" w:hAnsiTheme="minorHAnsi" w:cstheme="minorBidi"/>
          <w:lang w:eastAsia="en-US"/>
        </w:rPr>
      </w:pPr>
      <w:r w:rsidRPr="00D5067F">
        <w:rPr>
          <w:rFonts w:asciiTheme="minorHAnsi" w:eastAsiaTheme="minorHAnsi" w:hAnsiTheme="minorHAnsi" w:cstheme="minorBidi"/>
          <w:lang w:eastAsia="en-US"/>
        </w:rPr>
        <w:t xml:space="preserve">Abkehr von der Zeit von 1840-1870 als Beginn der Moderne zugunsten des Beginns erst ca. 25 Jahre vor dem Ersten Weltkrieg („Jahrhundertwende als Büchse der </w:t>
      </w:r>
      <w:proofErr w:type="spellStart"/>
      <w:r w:rsidRPr="00D5067F">
        <w:rPr>
          <w:rFonts w:asciiTheme="minorHAnsi" w:eastAsiaTheme="minorHAnsi" w:hAnsiTheme="minorHAnsi" w:cstheme="minorBidi"/>
          <w:lang w:eastAsia="en-US"/>
        </w:rPr>
        <w:t>Pandorra</w:t>
      </w:r>
      <w:proofErr w:type="spellEnd"/>
      <w:r w:rsidRPr="00D5067F">
        <w:rPr>
          <w:rFonts w:asciiTheme="minorHAnsi" w:eastAsiaTheme="minorHAnsi" w:hAnsiTheme="minorHAnsi" w:cstheme="minorBidi"/>
          <w:lang w:eastAsia="en-US"/>
        </w:rPr>
        <w:t>“)</w:t>
      </w:r>
    </w:p>
    <w:p w:rsidR="00711529" w:rsidRPr="00D5067F" w:rsidRDefault="00711529" w:rsidP="00115C1F">
      <w:pPr>
        <w:pStyle w:val="Listenabsatz"/>
        <w:numPr>
          <w:ilvl w:val="0"/>
          <w:numId w:val="3"/>
        </w:numPr>
        <w:spacing w:before="120" w:after="120"/>
        <w:ind w:left="0" w:firstLine="0"/>
        <w:rPr>
          <w:rFonts w:asciiTheme="minorHAnsi" w:eastAsiaTheme="minorHAnsi" w:hAnsiTheme="minorHAnsi" w:cstheme="minorBidi"/>
          <w:lang w:eastAsia="en-US"/>
        </w:rPr>
      </w:pPr>
      <w:r w:rsidRPr="00D5067F">
        <w:rPr>
          <w:rFonts w:asciiTheme="minorHAnsi" w:eastAsiaTheme="minorHAnsi" w:hAnsiTheme="minorHAnsi" w:cstheme="minorBidi"/>
          <w:lang w:eastAsia="en-US"/>
        </w:rPr>
        <w:t xml:space="preserve">Anknüpfung an die Definition der „klassische Moderne“: Entstehung einer Massenkultur und sowie einer Massenöffentlichkeit </w:t>
      </w:r>
    </w:p>
    <w:p w:rsidR="00BE717D" w:rsidRPr="00D5067F" w:rsidRDefault="00BE717D" w:rsidP="00115C1F">
      <w:pPr>
        <w:spacing w:before="120" w:after="120" w:line="240" w:lineRule="auto"/>
        <w:rPr>
          <w:sz w:val="24"/>
          <w:szCs w:val="24"/>
        </w:rPr>
      </w:pPr>
      <w:r w:rsidRPr="00D5067F">
        <w:rPr>
          <w:sz w:val="24"/>
          <w:szCs w:val="24"/>
        </w:rPr>
        <w:sym w:font="Wingdings" w:char="F0E0"/>
      </w:r>
      <w:r w:rsidRPr="00D5067F">
        <w:rPr>
          <w:sz w:val="24"/>
          <w:szCs w:val="24"/>
        </w:rPr>
        <w:t xml:space="preserve"> Konzept der Hoch- beziehungsweise Industriemoderne zwischen 1890 und 1980 prägte</w:t>
      </w:r>
      <w:r w:rsidR="00115C1F">
        <w:rPr>
          <w:sz w:val="24"/>
          <w:szCs w:val="24"/>
        </w:rPr>
        <w:t xml:space="preserve"> d</w:t>
      </w:r>
      <w:r w:rsidRPr="00D5067F">
        <w:rPr>
          <w:sz w:val="24"/>
          <w:szCs w:val="24"/>
        </w:rPr>
        <w:t>ie politischen und gesellschaftlichen Ordnungsentwürfe, die aus den ideologischen Strömungen Liberalismus/liberale Demokratie, Bolschewismus/Kommunismus und extremer Nationalismus/Nationalsozialismus erwuchsen, interpretierte er als unterschiedliche Antworten auf die Herausforderungen der modernen Industriegesellschaft</w:t>
      </w:r>
    </w:p>
    <w:p w:rsidR="00BE717D" w:rsidRPr="00D5067F" w:rsidRDefault="00BE717D" w:rsidP="00115C1F">
      <w:pPr>
        <w:spacing w:before="120" w:after="120" w:line="240" w:lineRule="auto"/>
        <w:rPr>
          <w:sz w:val="24"/>
          <w:szCs w:val="24"/>
        </w:rPr>
      </w:pPr>
    </w:p>
    <w:p w:rsidR="00711529" w:rsidRPr="00D5067F" w:rsidRDefault="00711529" w:rsidP="00115C1F">
      <w:pPr>
        <w:pStyle w:val="Listenabsatz"/>
        <w:spacing w:before="120" w:after="120"/>
        <w:ind w:left="0"/>
        <w:rPr>
          <w:rFonts w:asciiTheme="minorHAnsi" w:eastAsiaTheme="minorHAnsi" w:hAnsiTheme="minorHAnsi" w:cstheme="minorBidi"/>
          <w:b/>
          <w:u w:val="single"/>
          <w:lang w:eastAsia="en-US"/>
        </w:rPr>
      </w:pPr>
      <w:r w:rsidRPr="00D5067F">
        <w:rPr>
          <w:rFonts w:asciiTheme="minorHAnsi" w:eastAsiaTheme="minorHAnsi" w:hAnsiTheme="minorHAnsi" w:cstheme="minorBidi"/>
          <w:b/>
          <w:u w:val="single"/>
          <w:lang w:eastAsia="en-US"/>
        </w:rPr>
        <w:t>11.1. Wege in die westliche Moderne/ Wege in die Moderne</w:t>
      </w:r>
    </w:p>
    <w:p w:rsidR="0061042D" w:rsidRPr="00D5067F" w:rsidRDefault="00115C1F" w:rsidP="00115C1F">
      <w:pPr>
        <w:pStyle w:val="Listenabsatz"/>
        <w:numPr>
          <w:ilvl w:val="0"/>
          <w:numId w:val="3"/>
        </w:numPr>
        <w:spacing w:before="120" w:after="120"/>
        <w:ind w:left="0" w:firstLine="0"/>
        <w:rPr>
          <w:rFonts w:asciiTheme="minorHAnsi" w:eastAsiaTheme="minorHAnsi" w:hAnsiTheme="minorHAnsi" w:cstheme="minorBidi"/>
          <w:lang w:eastAsia="en-US"/>
        </w:rPr>
      </w:pPr>
      <w:r w:rsidRPr="00D5067F">
        <w:rPr>
          <w:rFonts w:asciiTheme="minorHAnsi" w:eastAsiaTheme="minorHAnsi" w:hAnsiTheme="minorHAnsi" w:cstheme="minorBidi"/>
          <w:lang w:eastAsia="en-US"/>
        </w:rPr>
        <w:t>Modernisierung erfolgte in einem Zeitraum von weniger als 30 Jahren und führte aufgrund dieser Veränderungsdynamik zu einer „Schockwelle“</w:t>
      </w:r>
    </w:p>
    <w:p w:rsidR="0061042D" w:rsidRPr="00D5067F" w:rsidRDefault="00115C1F" w:rsidP="00115C1F">
      <w:pPr>
        <w:pStyle w:val="Listenabsatz"/>
        <w:numPr>
          <w:ilvl w:val="0"/>
          <w:numId w:val="3"/>
        </w:numPr>
        <w:spacing w:before="120" w:after="120"/>
        <w:ind w:left="0" w:firstLine="0"/>
        <w:rPr>
          <w:rFonts w:asciiTheme="minorHAnsi" w:eastAsiaTheme="minorHAnsi" w:hAnsiTheme="minorHAnsi" w:cstheme="minorBidi"/>
          <w:lang w:eastAsia="en-US"/>
        </w:rPr>
      </w:pPr>
      <w:r w:rsidRPr="00D5067F">
        <w:rPr>
          <w:rFonts w:asciiTheme="minorHAnsi" w:eastAsiaTheme="minorHAnsi" w:hAnsiTheme="minorHAnsi" w:cstheme="minorBidi"/>
          <w:lang w:eastAsia="en-US"/>
        </w:rPr>
        <w:t>Intensität und Dynamik der Veränderung als enormer Fortschritt und zugleich tiefe existentielle Krise wahrgenommen und führten zu radikalen Experimente</w:t>
      </w:r>
      <w:r w:rsidR="0019186C" w:rsidRPr="00D5067F">
        <w:rPr>
          <w:rFonts w:asciiTheme="minorHAnsi" w:eastAsiaTheme="minorHAnsi" w:hAnsiTheme="minorHAnsi" w:cstheme="minorBidi"/>
          <w:lang w:eastAsia="en-US"/>
        </w:rPr>
        <w:t>n</w:t>
      </w:r>
      <w:r w:rsidRPr="00D5067F">
        <w:rPr>
          <w:rFonts w:asciiTheme="minorHAnsi" w:eastAsiaTheme="minorHAnsi" w:hAnsiTheme="minorHAnsi" w:cstheme="minorBidi"/>
          <w:lang w:eastAsia="en-US"/>
        </w:rPr>
        <w:t xml:space="preserve"> bzw. traditionellen Schutzmaßnahmen </w:t>
      </w:r>
    </w:p>
    <w:p w:rsidR="00C82E80" w:rsidRPr="00D5067F" w:rsidRDefault="00115C1F" w:rsidP="00115C1F">
      <w:pPr>
        <w:pStyle w:val="Listenabsatz"/>
        <w:numPr>
          <w:ilvl w:val="0"/>
          <w:numId w:val="3"/>
        </w:numPr>
        <w:spacing w:before="120" w:after="120"/>
        <w:ind w:left="0" w:firstLine="0"/>
        <w:rPr>
          <w:rFonts w:asciiTheme="minorHAnsi" w:eastAsiaTheme="minorHAnsi" w:hAnsiTheme="minorHAnsi" w:cstheme="minorBidi"/>
          <w:lang w:eastAsia="en-US"/>
        </w:rPr>
      </w:pPr>
      <w:r w:rsidRPr="00D5067F">
        <w:rPr>
          <w:rFonts w:asciiTheme="minorHAnsi" w:eastAsiaTheme="minorHAnsi" w:hAnsiTheme="minorHAnsi" w:cstheme="minorBidi"/>
          <w:lang w:eastAsia="en-US"/>
        </w:rPr>
        <w:t>nachfolgende – teilweise katastrophale – politische Ereignisse sind Reaktion auf die Moderne</w:t>
      </w:r>
    </w:p>
    <w:p w:rsidR="006D0989" w:rsidRPr="00D5067F" w:rsidRDefault="006D0989" w:rsidP="00115C1F">
      <w:pPr>
        <w:spacing w:before="120" w:after="120" w:line="240" w:lineRule="auto"/>
        <w:rPr>
          <w:b/>
          <w:sz w:val="24"/>
          <w:szCs w:val="24"/>
        </w:rPr>
      </w:pPr>
    </w:p>
    <w:p w:rsidR="00711529" w:rsidRPr="00D5067F" w:rsidRDefault="00711529" w:rsidP="00115C1F">
      <w:pPr>
        <w:spacing w:before="120" w:after="120" w:line="240" w:lineRule="auto"/>
        <w:rPr>
          <w:b/>
          <w:sz w:val="24"/>
          <w:szCs w:val="24"/>
          <w:u w:val="single"/>
        </w:rPr>
      </w:pPr>
      <w:r w:rsidRPr="00D5067F">
        <w:rPr>
          <w:b/>
          <w:sz w:val="24"/>
          <w:szCs w:val="24"/>
          <w:u w:val="single"/>
        </w:rPr>
        <w:t>11.2. Gegenentwürfe zur parlamentarischen Demokratie/ Bedrohung von Demokratie und Freiheit</w:t>
      </w:r>
    </w:p>
    <w:p w:rsidR="00C82E80" w:rsidRPr="00D5067F" w:rsidRDefault="00C82E80" w:rsidP="00115C1F">
      <w:pPr>
        <w:pStyle w:val="Listenabsatz"/>
        <w:numPr>
          <w:ilvl w:val="0"/>
          <w:numId w:val="3"/>
        </w:numPr>
        <w:spacing w:before="120" w:after="120"/>
        <w:ind w:left="0" w:firstLine="0"/>
        <w:rPr>
          <w:rFonts w:asciiTheme="minorHAnsi" w:eastAsiaTheme="minorHAnsi" w:hAnsiTheme="minorHAnsi" w:cstheme="minorBidi"/>
          <w:lang w:eastAsia="en-US"/>
        </w:rPr>
      </w:pPr>
      <w:r w:rsidRPr="00D5067F">
        <w:rPr>
          <w:rFonts w:asciiTheme="minorHAnsi" w:eastAsiaTheme="minorHAnsi" w:hAnsiTheme="minorHAnsi" w:cstheme="minorBidi"/>
          <w:lang w:eastAsia="en-US"/>
        </w:rPr>
        <w:t>nach den zerstörerischen Prozessen im  Ersten Weltkrieges wuchs die Überzeugung, dass das liberale Modell der bürgerlichen Gesellschaft gescheitert war und nur durch ein ideologisches Gesamtmodell zu überwinden sei: entweder durch das rechtsradikales Modell des auf biologischer A</w:t>
      </w:r>
      <w:bookmarkStart w:id="0" w:name="_GoBack"/>
      <w:bookmarkEnd w:id="0"/>
      <w:r w:rsidRPr="00D5067F">
        <w:rPr>
          <w:rFonts w:asciiTheme="minorHAnsi" w:eastAsiaTheme="minorHAnsi" w:hAnsiTheme="minorHAnsi" w:cstheme="minorBidi"/>
          <w:lang w:eastAsia="en-US"/>
        </w:rPr>
        <w:t>bstammung beruhenden völkischen Nationalismus oder durch das linksradikale Modell der sozialen Ungleichheit und des Internationalismus</w:t>
      </w:r>
    </w:p>
    <w:p w:rsidR="00C82E80" w:rsidRPr="00D5067F" w:rsidRDefault="00C82E80" w:rsidP="00115C1F">
      <w:pPr>
        <w:pStyle w:val="Listenabsatz"/>
        <w:numPr>
          <w:ilvl w:val="0"/>
          <w:numId w:val="3"/>
        </w:numPr>
        <w:spacing w:before="120" w:after="120"/>
        <w:ind w:left="0" w:firstLine="0"/>
        <w:rPr>
          <w:rFonts w:asciiTheme="minorHAnsi" w:eastAsiaTheme="minorHAnsi" w:hAnsiTheme="minorHAnsi" w:cstheme="minorBidi"/>
          <w:lang w:eastAsia="en-US"/>
        </w:rPr>
      </w:pPr>
      <w:r w:rsidRPr="00D5067F">
        <w:rPr>
          <w:rFonts w:asciiTheme="minorHAnsi" w:eastAsiaTheme="minorHAnsi" w:hAnsiTheme="minorHAnsi" w:cstheme="minorBidi"/>
          <w:lang w:eastAsia="en-US"/>
        </w:rPr>
        <w:t>Zwischen 1922 und 1939 entstanden fast überall in Europa antidemokratische Systeme als Gegenmodelle zum Liberalismus („alternative Moderne“)</w:t>
      </w:r>
    </w:p>
    <w:p w:rsidR="00C82E80" w:rsidRPr="00D5067F" w:rsidRDefault="00C82E80" w:rsidP="00115C1F">
      <w:pPr>
        <w:pStyle w:val="Listenabsatz"/>
        <w:numPr>
          <w:ilvl w:val="0"/>
          <w:numId w:val="3"/>
        </w:numPr>
        <w:spacing w:before="120" w:after="120"/>
        <w:ind w:left="0" w:firstLine="0"/>
        <w:rPr>
          <w:rFonts w:asciiTheme="minorHAnsi" w:eastAsiaTheme="minorHAnsi" w:hAnsiTheme="minorHAnsi" w:cstheme="minorBidi"/>
          <w:lang w:eastAsia="en-US"/>
        </w:rPr>
      </w:pPr>
      <w:r w:rsidRPr="00D5067F">
        <w:rPr>
          <w:rFonts w:asciiTheme="minorHAnsi" w:eastAsiaTheme="minorHAnsi" w:hAnsiTheme="minorHAnsi" w:cstheme="minorBidi"/>
          <w:lang w:eastAsia="en-US"/>
        </w:rPr>
        <w:t>Sieg der Anti-Hitler-Koalition beendete die völkisch-nationale Alternative, die für einen beispiellosen Massenmord verantwortlich war und führte zugleich zur Aufwertung des anderen Modells</w:t>
      </w:r>
    </w:p>
    <w:p w:rsidR="00711529" w:rsidRPr="00115C1F" w:rsidRDefault="00711529" w:rsidP="00115C1F">
      <w:pPr>
        <w:spacing w:before="120" w:after="120" w:line="240" w:lineRule="auto"/>
        <w:rPr>
          <w:b/>
          <w:sz w:val="24"/>
          <w:szCs w:val="24"/>
          <w:u w:val="single"/>
        </w:rPr>
      </w:pPr>
      <w:r w:rsidRPr="00115C1F">
        <w:rPr>
          <w:b/>
          <w:sz w:val="24"/>
          <w:szCs w:val="24"/>
          <w:u w:val="single"/>
        </w:rPr>
        <w:lastRenderedPageBreak/>
        <w:t>12.1. Streben nach Wohlstand und Partizipation in West- und Osteuropa/ Wege in die postindustrielle Zivilgesellschaft</w:t>
      </w:r>
    </w:p>
    <w:p w:rsidR="00C82E80" w:rsidRPr="00D5067F" w:rsidRDefault="00C82E80" w:rsidP="00115C1F">
      <w:pPr>
        <w:pStyle w:val="Listenabsatz"/>
        <w:numPr>
          <w:ilvl w:val="0"/>
          <w:numId w:val="3"/>
        </w:numPr>
        <w:spacing w:before="120" w:after="120"/>
        <w:ind w:left="0" w:firstLine="0"/>
        <w:rPr>
          <w:rFonts w:asciiTheme="minorHAnsi" w:eastAsiaTheme="minorHAnsi" w:hAnsiTheme="minorHAnsi" w:cstheme="minorBidi"/>
          <w:lang w:eastAsia="en-US"/>
        </w:rPr>
      </w:pPr>
      <w:r w:rsidRPr="00D5067F">
        <w:rPr>
          <w:rFonts w:asciiTheme="minorHAnsi" w:eastAsiaTheme="minorHAnsi" w:hAnsiTheme="minorHAnsi" w:cstheme="minorBidi"/>
          <w:lang w:eastAsia="en-US"/>
        </w:rPr>
        <w:t>Überlegenheit des demokratisch-kapitalistischen Liberalismus nur in politisch-institutioneller Sicht, nicht aber gesellschaftlich, wo nach 1945 eine „Revitalisierung“ alter Werte zu beobachten ist</w:t>
      </w:r>
    </w:p>
    <w:p w:rsidR="00C82E80" w:rsidRPr="00D5067F" w:rsidRDefault="00C82E80" w:rsidP="00115C1F">
      <w:pPr>
        <w:pStyle w:val="Listenabsatz"/>
        <w:numPr>
          <w:ilvl w:val="0"/>
          <w:numId w:val="3"/>
        </w:numPr>
        <w:spacing w:before="120" w:after="120"/>
        <w:ind w:left="0" w:firstLine="0"/>
        <w:rPr>
          <w:rFonts w:asciiTheme="minorHAnsi" w:eastAsiaTheme="minorHAnsi" w:hAnsiTheme="minorHAnsi" w:cstheme="minorBidi"/>
          <w:lang w:eastAsia="en-US"/>
        </w:rPr>
      </w:pPr>
      <w:r w:rsidRPr="00D5067F">
        <w:rPr>
          <w:rFonts w:asciiTheme="minorHAnsi" w:eastAsiaTheme="minorHAnsi" w:hAnsiTheme="minorHAnsi" w:cstheme="minorBidi"/>
          <w:lang w:eastAsia="en-US"/>
        </w:rPr>
        <w:t>Erst aufgrund des wirtschaftlichen Wachstums und der damit verbundenen sozialen Stabilität konnte sich ab den 1960er Jahren in Westeuropa ein Bedürfnis nach Neuorientierung der Lebensstile und ein breiter Emanzipationsprozess entwickeln</w:t>
      </w:r>
    </w:p>
    <w:p w:rsidR="00711529" w:rsidRPr="00D5067F" w:rsidRDefault="00C82E80" w:rsidP="00115C1F">
      <w:pPr>
        <w:pStyle w:val="Listenabsatz"/>
        <w:numPr>
          <w:ilvl w:val="0"/>
          <w:numId w:val="3"/>
        </w:numPr>
        <w:spacing w:before="120" w:after="120"/>
        <w:ind w:left="0" w:firstLine="0"/>
        <w:rPr>
          <w:rFonts w:asciiTheme="minorHAnsi" w:eastAsiaTheme="minorHAnsi" w:hAnsiTheme="minorHAnsi" w:cstheme="minorBidi"/>
          <w:lang w:eastAsia="en-US"/>
        </w:rPr>
      </w:pPr>
      <w:r w:rsidRPr="00D5067F">
        <w:rPr>
          <w:rFonts w:asciiTheme="minorHAnsi" w:eastAsiaTheme="minorHAnsi" w:hAnsiTheme="minorHAnsi" w:cstheme="minorBidi"/>
          <w:lang w:eastAsia="en-US"/>
        </w:rPr>
        <w:t>mangelnde Flexibilität, geringer wirtschaftlicher Erfolg und steigende Attraktivität des Westens führte ab den 1970er Jahren zu tiefgreifenden Krisen in Osteuropa, die 1990 als Systembruch ihren Höhepunkt fanden</w:t>
      </w:r>
    </w:p>
    <w:p w:rsidR="00C82E80" w:rsidRPr="00D5067F" w:rsidRDefault="00C82E80" w:rsidP="00115C1F">
      <w:pPr>
        <w:pStyle w:val="Listenabsatz"/>
        <w:numPr>
          <w:ilvl w:val="0"/>
          <w:numId w:val="3"/>
        </w:numPr>
        <w:spacing w:before="120" w:after="120"/>
        <w:ind w:left="0" w:firstLine="0"/>
        <w:rPr>
          <w:rFonts w:asciiTheme="minorHAnsi" w:eastAsiaTheme="minorHAnsi" w:hAnsiTheme="minorHAnsi" w:cstheme="minorBidi"/>
          <w:lang w:eastAsia="en-US"/>
        </w:rPr>
      </w:pPr>
      <w:r w:rsidRPr="00D5067F">
        <w:rPr>
          <w:rFonts w:asciiTheme="minorHAnsi" w:eastAsiaTheme="minorHAnsi" w:hAnsiTheme="minorHAnsi" w:cstheme="minorBidi"/>
          <w:lang w:eastAsia="en-US"/>
        </w:rPr>
        <w:t>Zusammenbruch des Sozialismus als Ende der radikalen Reaktionen auf die Krise der bürgerlichen Gesellschaft seit Beginn des 20. Jahrhunderts und Triumph der westlichen Konsum- und Zivilgesellschaft</w:t>
      </w:r>
    </w:p>
    <w:p w:rsidR="00C82E80" w:rsidRPr="00D5067F" w:rsidRDefault="00B324B9" w:rsidP="00115C1F">
      <w:pPr>
        <w:pStyle w:val="Listenabsatz"/>
        <w:numPr>
          <w:ilvl w:val="0"/>
          <w:numId w:val="4"/>
        </w:numPr>
        <w:spacing w:before="120" w:after="120"/>
        <w:ind w:left="0" w:firstLine="0"/>
        <w:rPr>
          <w:rFonts w:asciiTheme="minorHAnsi" w:eastAsiaTheme="minorHAnsi" w:hAnsiTheme="minorHAnsi" w:cstheme="minorBidi"/>
          <w:lang w:eastAsia="en-US"/>
        </w:rPr>
      </w:pPr>
      <w:r w:rsidRPr="00D5067F">
        <w:rPr>
          <w:rFonts w:asciiTheme="minorHAnsi" w:eastAsiaTheme="minorHAnsi" w:hAnsiTheme="minorHAnsi" w:cstheme="minorBidi"/>
          <w:lang w:eastAsia="en-US"/>
        </w:rPr>
        <w:t>In den 1970er Jahren breiter Konsens</w:t>
      </w:r>
      <w:r w:rsidR="00C82E80" w:rsidRPr="00D5067F">
        <w:rPr>
          <w:rFonts w:asciiTheme="minorHAnsi" w:eastAsiaTheme="minorHAnsi" w:hAnsiTheme="minorHAnsi" w:cstheme="minorBidi"/>
          <w:lang w:eastAsia="en-US"/>
        </w:rPr>
        <w:t xml:space="preserve"> liberalen demokratischen Konsum- und Zivilgesellschaften mit ausgewogener Mischung aus liberaler und sozialer Marktwirtschaft, staatlicher Fürsorge und privater Risiken, </w:t>
      </w:r>
      <w:r w:rsidR="00711529" w:rsidRPr="00D5067F">
        <w:rPr>
          <w:rFonts w:asciiTheme="minorHAnsi" w:eastAsiaTheme="minorHAnsi" w:hAnsiTheme="minorHAnsi" w:cstheme="minorBidi"/>
          <w:lang w:eastAsia="en-US"/>
        </w:rPr>
        <w:t>Tradition und Moderne, Individualismus und kommunaler Strukturen, nationaler Autonomie und supranationalen Beziehungen</w:t>
      </w:r>
    </w:p>
    <w:p w:rsidR="00B324B9" w:rsidRPr="00D5067F" w:rsidRDefault="00B324B9" w:rsidP="00115C1F">
      <w:pPr>
        <w:pStyle w:val="Listenabsatz"/>
        <w:numPr>
          <w:ilvl w:val="0"/>
          <w:numId w:val="4"/>
        </w:numPr>
        <w:spacing w:before="120" w:after="120"/>
        <w:ind w:left="0" w:firstLine="0"/>
        <w:rPr>
          <w:rFonts w:asciiTheme="minorHAnsi" w:eastAsiaTheme="minorHAnsi" w:hAnsiTheme="minorHAnsi" w:cstheme="minorBidi"/>
          <w:lang w:eastAsia="en-US"/>
        </w:rPr>
      </w:pPr>
      <w:r w:rsidRPr="00D5067F">
        <w:rPr>
          <w:rFonts w:asciiTheme="minorHAnsi" w:eastAsiaTheme="minorHAnsi" w:hAnsiTheme="minorHAnsi" w:cstheme="minorBidi"/>
          <w:lang w:eastAsia="en-US"/>
        </w:rPr>
        <w:t>Ab dem Zeitpunkt ein</w:t>
      </w:r>
      <w:r w:rsidR="00C82D10" w:rsidRPr="00D5067F">
        <w:rPr>
          <w:rFonts w:asciiTheme="minorHAnsi" w:eastAsiaTheme="minorHAnsi" w:hAnsiTheme="minorHAnsi" w:cstheme="minorBidi"/>
          <w:lang w:eastAsia="en-US"/>
        </w:rPr>
        <w:t>e</w:t>
      </w:r>
      <w:r w:rsidRPr="00D5067F">
        <w:rPr>
          <w:rFonts w:asciiTheme="minorHAnsi" w:eastAsiaTheme="minorHAnsi" w:hAnsiTheme="minorHAnsi" w:cstheme="minorBidi"/>
          <w:lang w:eastAsia="en-US"/>
        </w:rPr>
        <w:t xml:space="preserve">s breiten Konsenses in </w:t>
      </w:r>
      <w:r w:rsidR="00C82D10" w:rsidRPr="00D5067F">
        <w:rPr>
          <w:rFonts w:asciiTheme="minorHAnsi" w:eastAsiaTheme="minorHAnsi" w:hAnsiTheme="minorHAnsi" w:cstheme="minorBidi"/>
          <w:lang w:eastAsia="en-US"/>
        </w:rPr>
        <w:t>W</w:t>
      </w:r>
      <w:r w:rsidRPr="00D5067F">
        <w:rPr>
          <w:rFonts w:asciiTheme="minorHAnsi" w:eastAsiaTheme="minorHAnsi" w:hAnsiTheme="minorHAnsi" w:cstheme="minorBidi"/>
          <w:lang w:eastAsia="en-US"/>
        </w:rPr>
        <w:t>esteuropa begannen sich die Grundlagen der kapitalisti</w:t>
      </w:r>
      <w:r w:rsidR="00C82D10" w:rsidRPr="00D5067F">
        <w:rPr>
          <w:rFonts w:asciiTheme="minorHAnsi" w:eastAsiaTheme="minorHAnsi" w:hAnsiTheme="minorHAnsi" w:cstheme="minorBidi"/>
          <w:lang w:eastAsia="en-US"/>
        </w:rPr>
        <w:t>s</w:t>
      </w:r>
      <w:r w:rsidRPr="00D5067F">
        <w:rPr>
          <w:rFonts w:asciiTheme="minorHAnsi" w:eastAsiaTheme="minorHAnsi" w:hAnsiTheme="minorHAnsi" w:cstheme="minorBidi"/>
          <w:lang w:eastAsia="en-US"/>
        </w:rPr>
        <w:t>chen Industriegesell</w:t>
      </w:r>
      <w:r w:rsidR="00C82D10" w:rsidRPr="00D5067F">
        <w:rPr>
          <w:rFonts w:asciiTheme="minorHAnsi" w:eastAsiaTheme="minorHAnsi" w:hAnsiTheme="minorHAnsi" w:cstheme="minorBidi"/>
          <w:lang w:eastAsia="en-US"/>
        </w:rPr>
        <w:t>s</w:t>
      </w:r>
      <w:r w:rsidRPr="00D5067F">
        <w:rPr>
          <w:rFonts w:asciiTheme="minorHAnsi" w:eastAsiaTheme="minorHAnsi" w:hAnsiTheme="minorHAnsi" w:cstheme="minorBidi"/>
          <w:lang w:eastAsia="en-US"/>
        </w:rPr>
        <w:t>chaft zu verä</w:t>
      </w:r>
      <w:r w:rsidR="00C82D10" w:rsidRPr="00D5067F">
        <w:rPr>
          <w:rFonts w:asciiTheme="minorHAnsi" w:eastAsiaTheme="minorHAnsi" w:hAnsiTheme="minorHAnsi" w:cstheme="minorBidi"/>
          <w:lang w:eastAsia="en-US"/>
        </w:rPr>
        <w:t>ndern</w:t>
      </w:r>
      <w:r w:rsidR="008D4C41" w:rsidRPr="00D5067F">
        <w:rPr>
          <w:rFonts w:asciiTheme="minorHAnsi" w:eastAsiaTheme="minorHAnsi" w:hAnsiTheme="minorHAnsi" w:cstheme="minorBidi"/>
          <w:lang w:eastAsia="en-US"/>
        </w:rPr>
        <w:t xml:space="preserve"> und anstelle der Ost-West-Konfrontation traten neue Herausforderungen Umweltproblematik, globalisierte Kapital- und Warenströme, Digitalisierung, sinkende Bedeutung der Nationalstaaten wegen supranationaler Bündnisse, Migration, Geschlechtergerechtigkeit</w:t>
      </w:r>
    </w:p>
    <w:p w:rsidR="008D4C41" w:rsidRPr="00D5067F" w:rsidRDefault="008D4C41" w:rsidP="00115C1F">
      <w:pPr>
        <w:pStyle w:val="Listenabsatz"/>
        <w:numPr>
          <w:ilvl w:val="0"/>
          <w:numId w:val="4"/>
        </w:numPr>
        <w:spacing w:before="120" w:after="120"/>
        <w:ind w:left="0" w:firstLine="0"/>
        <w:rPr>
          <w:rFonts w:asciiTheme="minorHAnsi" w:eastAsiaTheme="minorHAnsi" w:hAnsiTheme="minorHAnsi" w:cstheme="minorBidi"/>
          <w:lang w:eastAsia="en-US"/>
        </w:rPr>
      </w:pPr>
      <w:r w:rsidRPr="00D5067F">
        <w:rPr>
          <w:rFonts w:asciiTheme="minorHAnsi" w:eastAsiaTheme="minorHAnsi" w:hAnsiTheme="minorHAnsi" w:cstheme="minorBidi"/>
          <w:lang w:eastAsia="en-US"/>
        </w:rPr>
        <w:t>Diese neuen Herausforderungen trugen ebenfalls zum endgültigen Untergang des Sowjetsystems mit bei, da dieses nicht mehr als Zukunftsvision gesehen wurde</w:t>
      </w:r>
    </w:p>
    <w:p w:rsidR="00711529" w:rsidRPr="00D5067F" w:rsidRDefault="00711529" w:rsidP="00115C1F">
      <w:pPr>
        <w:spacing w:before="120" w:after="120" w:line="240" w:lineRule="auto"/>
        <w:rPr>
          <w:sz w:val="24"/>
          <w:szCs w:val="24"/>
        </w:rPr>
      </w:pPr>
    </w:p>
    <w:p w:rsidR="00C82E80" w:rsidRPr="00D5067F" w:rsidRDefault="00711529" w:rsidP="00115C1F">
      <w:pPr>
        <w:spacing w:before="120" w:after="120" w:line="240" w:lineRule="auto"/>
        <w:rPr>
          <w:b/>
          <w:sz w:val="24"/>
          <w:szCs w:val="24"/>
          <w:u w:val="single"/>
        </w:rPr>
      </w:pPr>
      <w:r w:rsidRPr="00D5067F">
        <w:rPr>
          <w:b/>
          <w:sz w:val="24"/>
          <w:szCs w:val="24"/>
          <w:u w:val="single"/>
        </w:rPr>
        <w:t>Fazit</w:t>
      </w:r>
      <w:r w:rsidR="00B324B9" w:rsidRPr="00D5067F">
        <w:rPr>
          <w:b/>
          <w:sz w:val="24"/>
          <w:szCs w:val="24"/>
          <w:u w:val="single"/>
        </w:rPr>
        <w:t>:</w:t>
      </w:r>
    </w:p>
    <w:p w:rsidR="008D4C41" w:rsidRPr="00D5067F" w:rsidRDefault="00C82E80" w:rsidP="00115C1F">
      <w:pPr>
        <w:spacing w:before="120" w:after="120" w:line="240" w:lineRule="auto"/>
        <w:rPr>
          <w:sz w:val="24"/>
          <w:szCs w:val="24"/>
        </w:rPr>
      </w:pPr>
      <w:r w:rsidRPr="00D5067F">
        <w:rPr>
          <w:sz w:val="24"/>
          <w:szCs w:val="24"/>
        </w:rPr>
        <w:sym w:font="Wingdings" w:char="F0E0"/>
      </w:r>
      <w:r w:rsidRPr="00D5067F">
        <w:rPr>
          <w:sz w:val="24"/>
          <w:szCs w:val="24"/>
        </w:rPr>
        <w:t xml:space="preserve"> </w:t>
      </w:r>
      <w:r w:rsidR="008D4C41" w:rsidRPr="00D5067F">
        <w:rPr>
          <w:sz w:val="24"/>
          <w:szCs w:val="24"/>
        </w:rPr>
        <w:t>seit Ende des 19. Jahrhunderts Phase des schnellen Wandels der europäischen Gesellschaften, in der in allen Bereichen immer wieder nach geeigneten Strategien zur Bewältigung der Herausforderungen gesucht wurde, die in den späten 1960er und frühen 1970er Jahren endete</w:t>
      </w:r>
    </w:p>
    <w:p w:rsidR="00444EC3" w:rsidRPr="00D5067F" w:rsidRDefault="008D4C41" w:rsidP="00115C1F">
      <w:pPr>
        <w:spacing w:before="120" w:after="120" w:line="240" w:lineRule="auto"/>
        <w:rPr>
          <w:sz w:val="24"/>
          <w:szCs w:val="24"/>
        </w:rPr>
      </w:pPr>
      <w:r w:rsidRPr="00D5067F">
        <w:rPr>
          <w:sz w:val="24"/>
          <w:szCs w:val="24"/>
        </w:rPr>
        <w:sym w:font="Wingdings" w:char="F0E0"/>
      </w:r>
      <w:r w:rsidRPr="00D5067F">
        <w:rPr>
          <w:sz w:val="24"/>
          <w:szCs w:val="24"/>
        </w:rPr>
        <w:t xml:space="preserve"> </w:t>
      </w:r>
      <w:r w:rsidR="00B324B9" w:rsidRPr="00D5067F">
        <w:rPr>
          <w:sz w:val="24"/>
          <w:szCs w:val="24"/>
        </w:rPr>
        <w:t>ab den 1970er Jahren scheinen Probleme seit Jahrhundertwende gelöst</w:t>
      </w:r>
      <w:r w:rsidRPr="00D5067F">
        <w:rPr>
          <w:sz w:val="24"/>
          <w:szCs w:val="24"/>
        </w:rPr>
        <w:t xml:space="preserve"> durch breiten Konsens inn</w:t>
      </w:r>
      <w:r w:rsidR="00444EC3" w:rsidRPr="00D5067F">
        <w:rPr>
          <w:sz w:val="24"/>
          <w:szCs w:val="24"/>
        </w:rPr>
        <w:t>e</w:t>
      </w:r>
      <w:r w:rsidRPr="00D5067F">
        <w:rPr>
          <w:sz w:val="24"/>
          <w:szCs w:val="24"/>
        </w:rPr>
        <w:t xml:space="preserve">rhalb der liberalen demokratischen Konsum- und Zivilgesellschaften </w:t>
      </w:r>
      <w:r w:rsidR="00444EC3" w:rsidRPr="00D5067F">
        <w:rPr>
          <w:sz w:val="24"/>
          <w:szCs w:val="24"/>
        </w:rPr>
        <w:t>und hoher Faszination dieses Modells sowie fehlender Zukunftsvision im sozialistischen System</w:t>
      </w:r>
    </w:p>
    <w:p w:rsidR="00444EC3" w:rsidRPr="00D5067F" w:rsidRDefault="00444EC3" w:rsidP="00115C1F">
      <w:pPr>
        <w:spacing w:before="120" w:after="120" w:line="240" w:lineRule="auto"/>
        <w:rPr>
          <w:sz w:val="24"/>
          <w:szCs w:val="24"/>
        </w:rPr>
      </w:pPr>
      <w:r w:rsidRPr="00D5067F">
        <w:rPr>
          <w:sz w:val="24"/>
          <w:szCs w:val="24"/>
        </w:rPr>
        <w:sym w:font="Wingdings" w:char="F0E0"/>
      </w:r>
      <w:r w:rsidRPr="00D5067F">
        <w:rPr>
          <w:sz w:val="24"/>
          <w:szCs w:val="24"/>
        </w:rPr>
        <w:t xml:space="preserve"> nachfolgende Zeit weder „Postmoderne“, da die mühevoll erarbeiteten erfolgreichen Antworten gültig blieben, noch „postindustriell“, da Kohle- und Stahlindustrie durch neue Industrien in IT- und Biochemie abgelöst wurden</w:t>
      </w:r>
    </w:p>
    <w:p w:rsidR="00444EC3" w:rsidRPr="00D5067F" w:rsidRDefault="00444EC3" w:rsidP="00115C1F">
      <w:pPr>
        <w:spacing w:before="120" w:after="120" w:line="240" w:lineRule="auto"/>
        <w:rPr>
          <w:sz w:val="24"/>
          <w:szCs w:val="24"/>
        </w:rPr>
      </w:pPr>
      <w:r w:rsidRPr="00D5067F">
        <w:rPr>
          <w:sz w:val="24"/>
          <w:szCs w:val="24"/>
        </w:rPr>
        <w:sym w:font="Wingdings" w:char="F0E0"/>
      </w:r>
      <w:r w:rsidRPr="00D5067F">
        <w:rPr>
          <w:sz w:val="24"/>
          <w:szCs w:val="24"/>
        </w:rPr>
        <w:t xml:space="preserve"> Hochmoderne war geprägt von der Hegemonie des Industrialismus, dem Widerspruch zwischen dynamischen Veränderungen und radikalen traditionellen Gegenmodellen auf der linken und rechten Seite </w:t>
      </w:r>
    </w:p>
    <w:p w:rsidR="00D5067F" w:rsidRDefault="00B324B9" w:rsidP="00115C1F">
      <w:pPr>
        <w:spacing w:before="120" w:after="120" w:line="240" w:lineRule="auto"/>
        <w:rPr>
          <w:sz w:val="24"/>
          <w:szCs w:val="24"/>
        </w:rPr>
      </w:pPr>
      <w:r w:rsidRPr="00D5067F">
        <w:rPr>
          <w:sz w:val="24"/>
          <w:szCs w:val="24"/>
        </w:rPr>
        <w:sym w:font="Wingdings" w:char="F0E0"/>
      </w:r>
      <w:r w:rsidRPr="00D5067F">
        <w:rPr>
          <w:sz w:val="24"/>
          <w:szCs w:val="24"/>
        </w:rPr>
        <w:t xml:space="preserve"> M</w:t>
      </w:r>
      <w:r w:rsidR="00C82E80" w:rsidRPr="00D5067F">
        <w:rPr>
          <w:sz w:val="24"/>
          <w:szCs w:val="24"/>
        </w:rPr>
        <w:t>oderne nicht als Ensemble fester Prinzipien, sondern als offenen Prozess begreifen</w:t>
      </w:r>
    </w:p>
    <w:p w:rsidR="00FA63D8" w:rsidRPr="00D5067F" w:rsidRDefault="00D5067F" w:rsidP="00115C1F">
      <w:pPr>
        <w:spacing w:before="120" w:after="120" w:line="240" w:lineRule="auto"/>
        <w:rPr>
          <w:sz w:val="24"/>
          <w:szCs w:val="24"/>
        </w:rPr>
      </w:pPr>
      <w:r w:rsidRPr="00997794">
        <w:rPr>
          <w:sz w:val="24"/>
          <w:szCs w:val="24"/>
        </w:rPr>
        <w:sym w:font="Wingdings" w:char="F0E0"/>
      </w:r>
      <w:r w:rsidRPr="00997794">
        <w:rPr>
          <w:sz w:val="24"/>
          <w:szCs w:val="24"/>
        </w:rPr>
        <w:t xml:space="preserve"> </w:t>
      </w:r>
      <w:r w:rsidR="00C82E80" w:rsidRPr="00997794">
        <w:rPr>
          <w:sz w:val="24"/>
          <w:szCs w:val="24"/>
        </w:rPr>
        <w:t xml:space="preserve">Verhältnis zw. Strukturwandel und Wertehaltung bzw. politischen Gestaltungsoptionen als </w:t>
      </w:r>
      <w:r w:rsidR="00997794">
        <w:rPr>
          <w:sz w:val="24"/>
          <w:szCs w:val="24"/>
        </w:rPr>
        <w:t>„</w:t>
      </w:r>
      <w:proofErr w:type="spellStart"/>
      <w:r w:rsidR="00C82E80" w:rsidRPr="00997794">
        <w:rPr>
          <w:sz w:val="24"/>
          <w:szCs w:val="24"/>
        </w:rPr>
        <w:t>challenge</w:t>
      </w:r>
      <w:proofErr w:type="spellEnd"/>
      <w:r w:rsidR="00C82E80" w:rsidRPr="00997794">
        <w:rPr>
          <w:sz w:val="24"/>
          <w:szCs w:val="24"/>
        </w:rPr>
        <w:t xml:space="preserve"> </w:t>
      </w:r>
      <w:r w:rsidR="00997794">
        <w:rPr>
          <w:sz w:val="24"/>
          <w:szCs w:val="24"/>
        </w:rPr>
        <w:t>and</w:t>
      </w:r>
      <w:r w:rsidR="00C82E80" w:rsidRPr="00997794">
        <w:rPr>
          <w:sz w:val="24"/>
          <w:szCs w:val="24"/>
        </w:rPr>
        <w:t xml:space="preserve"> </w:t>
      </w:r>
      <w:proofErr w:type="spellStart"/>
      <w:r w:rsidR="00C82E80" w:rsidRPr="00997794">
        <w:rPr>
          <w:sz w:val="24"/>
          <w:szCs w:val="24"/>
        </w:rPr>
        <w:t>response</w:t>
      </w:r>
      <w:proofErr w:type="spellEnd"/>
      <w:r w:rsidR="00997794">
        <w:rPr>
          <w:sz w:val="24"/>
          <w:szCs w:val="24"/>
        </w:rPr>
        <w:t>“</w:t>
      </w:r>
      <w:r w:rsidR="00C82E80" w:rsidRPr="00997794">
        <w:rPr>
          <w:sz w:val="24"/>
          <w:szCs w:val="24"/>
        </w:rPr>
        <w:t xml:space="preserve"> </w:t>
      </w:r>
      <w:r w:rsidR="00997794">
        <w:rPr>
          <w:sz w:val="24"/>
          <w:szCs w:val="24"/>
        </w:rPr>
        <w:t xml:space="preserve">(Toynbee) </w:t>
      </w:r>
      <w:r w:rsidR="00C82E80" w:rsidRPr="00997794">
        <w:rPr>
          <w:sz w:val="24"/>
          <w:szCs w:val="24"/>
        </w:rPr>
        <w:t>bezeichnet</w:t>
      </w:r>
    </w:p>
    <w:sectPr w:rsidR="00FA63D8" w:rsidRPr="00D5067F" w:rsidSect="00C82E80">
      <w:footerReference w:type="default" r:id="rId7"/>
      <w:pgSz w:w="11906" w:h="16838"/>
      <w:pgMar w:top="56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EB9" w:rsidRDefault="00EC1EB9" w:rsidP="002B2068">
      <w:pPr>
        <w:spacing w:after="0" w:line="240" w:lineRule="auto"/>
      </w:pPr>
      <w:r>
        <w:separator/>
      </w:r>
    </w:p>
  </w:endnote>
  <w:endnote w:type="continuationSeparator" w:id="0">
    <w:p w:rsidR="00EC1EB9" w:rsidRDefault="00EC1EB9" w:rsidP="002B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DE7" w:rsidRDefault="007F2DE7" w:rsidP="007F2DE7">
    <w:pPr>
      <w:pStyle w:val="Kopfzeile"/>
    </w:pPr>
    <w:r>
      <w:t>ZPG Geschichte, Kursstufe</w:t>
    </w:r>
    <w:r>
      <w:tab/>
    </w:r>
    <w:r>
      <w:tab/>
      <w:t>02.-04.03.2020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EB9" w:rsidRDefault="00EC1EB9" w:rsidP="002B2068">
      <w:pPr>
        <w:spacing w:after="0" w:line="240" w:lineRule="auto"/>
      </w:pPr>
      <w:r>
        <w:separator/>
      </w:r>
    </w:p>
  </w:footnote>
  <w:footnote w:type="continuationSeparator" w:id="0">
    <w:p w:rsidR="00EC1EB9" w:rsidRDefault="00EC1EB9" w:rsidP="002B2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127F"/>
    <w:multiLevelType w:val="hybridMultilevel"/>
    <w:tmpl w:val="938277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6902DD"/>
    <w:multiLevelType w:val="hybridMultilevel"/>
    <w:tmpl w:val="0EBCBA36"/>
    <w:lvl w:ilvl="0" w:tplc="478AEF1A">
      <w:start w:val="1"/>
      <w:numFmt w:val="bullet"/>
      <w:lvlText w:val="-"/>
      <w:lvlJc w:val="left"/>
      <w:pPr>
        <w:tabs>
          <w:tab w:val="num" w:pos="720"/>
        </w:tabs>
        <w:ind w:left="720" w:hanging="360"/>
      </w:pPr>
      <w:rPr>
        <w:rFonts w:ascii="Times New Roman" w:hAnsi="Times New Roman" w:hint="default"/>
      </w:rPr>
    </w:lvl>
    <w:lvl w:ilvl="1" w:tplc="669833A4" w:tentative="1">
      <w:start w:val="1"/>
      <w:numFmt w:val="bullet"/>
      <w:lvlText w:val="-"/>
      <w:lvlJc w:val="left"/>
      <w:pPr>
        <w:tabs>
          <w:tab w:val="num" w:pos="1440"/>
        </w:tabs>
        <w:ind w:left="1440" w:hanging="360"/>
      </w:pPr>
      <w:rPr>
        <w:rFonts w:ascii="Times New Roman" w:hAnsi="Times New Roman" w:hint="default"/>
      </w:rPr>
    </w:lvl>
    <w:lvl w:ilvl="2" w:tplc="8EFA70EA" w:tentative="1">
      <w:start w:val="1"/>
      <w:numFmt w:val="bullet"/>
      <w:lvlText w:val="-"/>
      <w:lvlJc w:val="left"/>
      <w:pPr>
        <w:tabs>
          <w:tab w:val="num" w:pos="2160"/>
        </w:tabs>
        <w:ind w:left="2160" w:hanging="360"/>
      </w:pPr>
      <w:rPr>
        <w:rFonts w:ascii="Times New Roman" w:hAnsi="Times New Roman" w:hint="default"/>
      </w:rPr>
    </w:lvl>
    <w:lvl w:ilvl="3" w:tplc="5FF01592" w:tentative="1">
      <w:start w:val="1"/>
      <w:numFmt w:val="bullet"/>
      <w:lvlText w:val="-"/>
      <w:lvlJc w:val="left"/>
      <w:pPr>
        <w:tabs>
          <w:tab w:val="num" w:pos="2880"/>
        </w:tabs>
        <w:ind w:left="2880" w:hanging="360"/>
      </w:pPr>
      <w:rPr>
        <w:rFonts w:ascii="Times New Roman" w:hAnsi="Times New Roman" w:hint="default"/>
      </w:rPr>
    </w:lvl>
    <w:lvl w:ilvl="4" w:tplc="E2A8F81C" w:tentative="1">
      <w:start w:val="1"/>
      <w:numFmt w:val="bullet"/>
      <w:lvlText w:val="-"/>
      <w:lvlJc w:val="left"/>
      <w:pPr>
        <w:tabs>
          <w:tab w:val="num" w:pos="3600"/>
        </w:tabs>
        <w:ind w:left="3600" w:hanging="360"/>
      </w:pPr>
      <w:rPr>
        <w:rFonts w:ascii="Times New Roman" w:hAnsi="Times New Roman" w:hint="default"/>
      </w:rPr>
    </w:lvl>
    <w:lvl w:ilvl="5" w:tplc="E834D96E" w:tentative="1">
      <w:start w:val="1"/>
      <w:numFmt w:val="bullet"/>
      <w:lvlText w:val="-"/>
      <w:lvlJc w:val="left"/>
      <w:pPr>
        <w:tabs>
          <w:tab w:val="num" w:pos="4320"/>
        </w:tabs>
        <w:ind w:left="4320" w:hanging="360"/>
      </w:pPr>
      <w:rPr>
        <w:rFonts w:ascii="Times New Roman" w:hAnsi="Times New Roman" w:hint="default"/>
      </w:rPr>
    </w:lvl>
    <w:lvl w:ilvl="6" w:tplc="F628FEFE" w:tentative="1">
      <w:start w:val="1"/>
      <w:numFmt w:val="bullet"/>
      <w:lvlText w:val="-"/>
      <w:lvlJc w:val="left"/>
      <w:pPr>
        <w:tabs>
          <w:tab w:val="num" w:pos="5040"/>
        </w:tabs>
        <w:ind w:left="5040" w:hanging="360"/>
      </w:pPr>
      <w:rPr>
        <w:rFonts w:ascii="Times New Roman" w:hAnsi="Times New Roman" w:hint="default"/>
      </w:rPr>
    </w:lvl>
    <w:lvl w:ilvl="7" w:tplc="01243FA2" w:tentative="1">
      <w:start w:val="1"/>
      <w:numFmt w:val="bullet"/>
      <w:lvlText w:val="-"/>
      <w:lvlJc w:val="left"/>
      <w:pPr>
        <w:tabs>
          <w:tab w:val="num" w:pos="5760"/>
        </w:tabs>
        <w:ind w:left="5760" w:hanging="360"/>
      </w:pPr>
      <w:rPr>
        <w:rFonts w:ascii="Times New Roman" w:hAnsi="Times New Roman" w:hint="default"/>
      </w:rPr>
    </w:lvl>
    <w:lvl w:ilvl="8" w:tplc="756ACD8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E0D630C"/>
    <w:multiLevelType w:val="hybridMultilevel"/>
    <w:tmpl w:val="4E1E6836"/>
    <w:lvl w:ilvl="0" w:tplc="04070001">
      <w:start w:val="1"/>
      <w:numFmt w:val="bullet"/>
      <w:lvlText w:val=""/>
      <w:lvlJc w:val="left"/>
      <w:pPr>
        <w:ind w:left="360" w:hanging="360"/>
      </w:pPr>
      <w:rPr>
        <w:rFonts w:ascii="Symbol" w:hAnsi="Symbol" w:hint="default"/>
      </w:rPr>
    </w:lvl>
    <w:lvl w:ilvl="1" w:tplc="3DE29BE2">
      <w:numFmt w:val="bullet"/>
      <w:lvlText w:val=""/>
      <w:lvlJc w:val="left"/>
      <w:pPr>
        <w:ind w:left="360" w:hanging="360"/>
      </w:pPr>
      <w:rPr>
        <w:rFonts w:ascii="Wingdings" w:eastAsiaTheme="minorHAnsi" w:hAnsi="Wingdings" w:cstheme="minorBidi" w:hint="default"/>
        <w:color w:val="auto"/>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5F6C015B"/>
    <w:multiLevelType w:val="hybridMultilevel"/>
    <w:tmpl w:val="46E07FEE"/>
    <w:lvl w:ilvl="0" w:tplc="4F9473E0">
      <w:start w:val="1"/>
      <w:numFmt w:val="bullet"/>
      <w:lvlText w:val="-"/>
      <w:lvlJc w:val="left"/>
      <w:pPr>
        <w:tabs>
          <w:tab w:val="num" w:pos="720"/>
        </w:tabs>
        <w:ind w:left="720" w:hanging="360"/>
      </w:pPr>
      <w:rPr>
        <w:rFonts w:ascii="Times New Roman" w:hAnsi="Times New Roman" w:hint="default"/>
      </w:rPr>
    </w:lvl>
    <w:lvl w:ilvl="1" w:tplc="B6A2F01E" w:tentative="1">
      <w:start w:val="1"/>
      <w:numFmt w:val="bullet"/>
      <w:lvlText w:val="-"/>
      <w:lvlJc w:val="left"/>
      <w:pPr>
        <w:tabs>
          <w:tab w:val="num" w:pos="1440"/>
        </w:tabs>
        <w:ind w:left="1440" w:hanging="360"/>
      </w:pPr>
      <w:rPr>
        <w:rFonts w:ascii="Times New Roman" w:hAnsi="Times New Roman" w:hint="default"/>
      </w:rPr>
    </w:lvl>
    <w:lvl w:ilvl="2" w:tplc="5E4ABAAA" w:tentative="1">
      <w:start w:val="1"/>
      <w:numFmt w:val="bullet"/>
      <w:lvlText w:val="-"/>
      <w:lvlJc w:val="left"/>
      <w:pPr>
        <w:tabs>
          <w:tab w:val="num" w:pos="2160"/>
        </w:tabs>
        <w:ind w:left="2160" w:hanging="360"/>
      </w:pPr>
      <w:rPr>
        <w:rFonts w:ascii="Times New Roman" w:hAnsi="Times New Roman" w:hint="default"/>
      </w:rPr>
    </w:lvl>
    <w:lvl w:ilvl="3" w:tplc="9BDE2FDC" w:tentative="1">
      <w:start w:val="1"/>
      <w:numFmt w:val="bullet"/>
      <w:lvlText w:val="-"/>
      <w:lvlJc w:val="left"/>
      <w:pPr>
        <w:tabs>
          <w:tab w:val="num" w:pos="2880"/>
        </w:tabs>
        <w:ind w:left="2880" w:hanging="360"/>
      </w:pPr>
      <w:rPr>
        <w:rFonts w:ascii="Times New Roman" w:hAnsi="Times New Roman" w:hint="default"/>
      </w:rPr>
    </w:lvl>
    <w:lvl w:ilvl="4" w:tplc="674ADDD2" w:tentative="1">
      <w:start w:val="1"/>
      <w:numFmt w:val="bullet"/>
      <w:lvlText w:val="-"/>
      <w:lvlJc w:val="left"/>
      <w:pPr>
        <w:tabs>
          <w:tab w:val="num" w:pos="3600"/>
        </w:tabs>
        <w:ind w:left="3600" w:hanging="360"/>
      </w:pPr>
      <w:rPr>
        <w:rFonts w:ascii="Times New Roman" w:hAnsi="Times New Roman" w:hint="default"/>
      </w:rPr>
    </w:lvl>
    <w:lvl w:ilvl="5" w:tplc="41282E50" w:tentative="1">
      <w:start w:val="1"/>
      <w:numFmt w:val="bullet"/>
      <w:lvlText w:val="-"/>
      <w:lvlJc w:val="left"/>
      <w:pPr>
        <w:tabs>
          <w:tab w:val="num" w:pos="4320"/>
        </w:tabs>
        <w:ind w:left="4320" w:hanging="360"/>
      </w:pPr>
      <w:rPr>
        <w:rFonts w:ascii="Times New Roman" w:hAnsi="Times New Roman" w:hint="default"/>
      </w:rPr>
    </w:lvl>
    <w:lvl w:ilvl="6" w:tplc="13C23CCA" w:tentative="1">
      <w:start w:val="1"/>
      <w:numFmt w:val="bullet"/>
      <w:lvlText w:val="-"/>
      <w:lvlJc w:val="left"/>
      <w:pPr>
        <w:tabs>
          <w:tab w:val="num" w:pos="5040"/>
        </w:tabs>
        <w:ind w:left="5040" w:hanging="360"/>
      </w:pPr>
      <w:rPr>
        <w:rFonts w:ascii="Times New Roman" w:hAnsi="Times New Roman" w:hint="default"/>
      </w:rPr>
    </w:lvl>
    <w:lvl w:ilvl="7" w:tplc="85F0E200" w:tentative="1">
      <w:start w:val="1"/>
      <w:numFmt w:val="bullet"/>
      <w:lvlText w:val="-"/>
      <w:lvlJc w:val="left"/>
      <w:pPr>
        <w:tabs>
          <w:tab w:val="num" w:pos="5760"/>
        </w:tabs>
        <w:ind w:left="5760" w:hanging="360"/>
      </w:pPr>
      <w:rPr>
        <w:rFonts w:ascii="Times New Roman" w:hAnsi="Times New Roman" w:hint="default"/>
      </w:rPr>
    </w:lvl>
    <w:lvl w:ilvl="8" w:tplc="A76A251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E80"/>
    <w:rsid w:val="00115C1F"/>
    <w:rsid w:val="0019186C"/>
    <w:rsid w:val="002B2068"/>
    <w:rsid w:val="00444EC3"/>
    <w:rsid w:val="0061042D"/>
    <w:rsid w:val="006D0989"/>
    <w:rsid w:val="00711529"/>
    <w:rsid w:val="007F2DE7"/>
    <w:rsid w:val="008D4C41"/>
    <w:rsid w:val="00997794"/>
    <w:rsid w:val="00B324B9"/>
    <w:rsid w:val="00BE717D"/>
    <w:rsid w:val="00C82D10"/>
    <w:rsid w:val="00C82E80"/>
    <w:rsid w:val="00D5067F"/>
    <w:rsid w:val="00EC1EB9"/>
    <w:rsid w:val="00FA63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F9B7"/>
  <w15:chartTrackingRefBased/>
  <w15:docId w15:val="{AA6D7D57-D76F-4DCD-993C-E72D37D4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82E80"/>
    <w:pPr>
      <w:spacing w:after="0" w:line="240" w:lineRule="auto"/>
      <w:ind w:left="720"/>
      <w:contextualSpacing/>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2B20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2068"/>
  </w:style>
  <w:style w:type="paragraph" w:styleId="Fuzeile">
    <w:name w:val="footer"/>
    <w:basedOn w:val="Standard"/>
    <w:link w:val="FuzeileZchn"/>
    <w:uiPriority w:val="99"/>
    <w:unhideWhenUsed/>
    <w:rsid w:val="002B20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2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052006">
      <w:bodyDiv w:val="1"/>
      <w:marLeft w:val="0"/>
      <w:marRight w:val="0"/>
      <w:marTop w:val="0"/>
      <w:marBottom w:val="0"/>
      <w:divBdr>
        <w:top w:val="none" w:sz="0" w:space="0" w:color="auto"/>
        <w:left w:val="none" w:sz="0" w:space="0" w:color="auto"/>
        <w:bottom w:val="none" w:sz="0" w:space="0" w:color="auto"/>
        <w:right w:val="none" w:sz="0" w:space="0" w:color="auto"/>
      </w:divBdr>
      <w:divsChild>
        <w:div w:id="444736552">
          <w:marLeft w:val="360"/>
          <w:marRight w:val="0"/>
          <w:marTop w:val="120"/>
          <w:marBottom w:val="0"/>
          <w:divBdr>
            <w:top w:val="none" w:sz="0" w:space="0" w:color="auto"/>
            <w:left w:val="none" w:sz="0" w:space="0" w:color="auto"/>
            <w:bottom w:val="none" w:sz="0" w:space="0" w:color="auto"/>
            <w:right w:val="none" w:sz="0" w:space="0" w:color="auto"/>
          </w:divBdr>
        </w:div>
        <w:div w:id="1450584800">
          <w:marLeft w:val="360"/>
          <w:marRight w:val="0"/>
          <w:marTop w:val="120"/>
          <w:marBottom w:val="0"/>
          <w:divBdr>
            <w:top w:val="none" w:sz="0" w:space="0" w:color="auto"/>
            <w:left w:val="none" w:sz="0" w:space="0" w:color="auto"/>
            <w:bottom w:val="none" w:sz="0" w:space="0" w:color="auto"/>
            <w:right w:val="none" w:sz="0" w:space="0" w:color="auto"/>
          </w:divBdr>
        </w:div>
        <w:div w:id="1485120179">
          <w:marLeft w:val="360"/>
          <w:marRight w:val="0"/>
          <w:marTop w:val="120"/>
          <w:marBottom w:val="0"/>
          <w:divBdr>
            <w:top w:val="none" w:sz="0" w:space="0" w:color="auto"/>
            <w:left w:val="none" w:sz="0" w:space="0" w:color="auto"/>
            <w:bottom w:val="none" w:sz="0" w:space="0" w:color="auto"/>
            <w:right w:val="none" w:sz="0" w:space="0" w:color="auto"/>
          </w:divBdr>
        </w:div>
        <w:div w:id="410002864">
          <w:marLeft w:val="360"/>
          <w:marRight w:val="0"/>
          <w:marTop w:val="120"/>
          <w:marBottom w:val="0"/>
          <w:divBdr>
            <w:top w:val="none" w:sz="0" w:space="0" w:color="auto"/>
            <w:left w:val="none" w:sz="0" w:space="0" w:color="auto"/>
            <w:bottom w:val="none" w:sz="0" w:space="0" w:color="auto"/>
            <w:right w:val="none" w:sz="0" w:space="0" w:color="auto"/>
          </w:divBdr>
        </w:div>
        <w:div w:id="1741907320">
          <w:marLeft w:val="360"/>
          <w:marRight w:val="0"/>
          <w:marTop w:val="120"/>
          <w:marBottom w:val="0"/>
          <w:divBdr>
            <w:top w:val="none" w:sz="0" w:space="0" w:color="auto"/>
            <w:left w:val="none" w:sz="0" w:space="0" w:color="auto"/>
            <w:bottom w:val="none" w:sz="0" w:space="0" w:color="auto"/>
            <w:right w:val="none" w:sz="0" w:space="0" w:color="auto"/>
          </w:divBdr>
        </w:div>
        <w:div w:id="606278505">
          <w:marLeft w:val="360"/>
          <w:marRight w:val="0"/>
          <w:marTop w:val="120"/>
          <w:marBottom w:val="0"/>
          <w:divBdr>
            <w:top w:val="none" w:sz="0" w:space="0" w:color="auto"/>
            <w:left w:val="none" w:sz="0" w:space="0" w:color="auto"/>
            <w:bottom w:val="none" w:sz="0" w:space="0" w:color="auto"/>
            <w:right w:val="none" w:sz="0" w:space="0" w:color="auto"/>
          </w:divBdr>
        </w:div>
        <w:div w:id="1732657492">
          <w:marLeft w:val="360"/>
          <w:marRight w:val="0"/>
          <w:marTop w:val="120"/>
          <w:marBottom w:val="0"/>
          <w:divBdr>
            <w:top w:val="none" w:sz="0" w:space="0" w:color="auto"/>
            <w:left w:val="none" w:sz="0" w:space="0" w:color="auto"/>
            <w:bottom w:val="none" w:sz="0" w:space="0" w:color="auto"/>
            <w:right w:val="none" w:sz="0" w:space="0" w:color="auto"/>
          </w:divBdr>
        </w:div>
      </w:divsChild>
    </w:div>
    <w:div w:id="1145858865">
      <w:bodyDiv w:val="1"/>
      <w:marLeft w:val="0"/>
      <w:marRight w:val="0"/>
      <w:marTop w:val="0"/>
      <w:marBottom w:val="0"/>
      <w:divBdr>
        <w:top w:val="none" w:sz="0" w:space="0" w:color="auto"/>
        <w:left w:val="none" w:sz="0" w:space="0" w:color="auto"/>
        <w:bottom w:val="none" w:sz="0" w:space="0" w:color="auto"/>
        <w:right w:val="none" w:sz="0" w:space="0" w:color="auto"/>
      </w:divBdr>
      <w:divsChild>
        <w:div w:id="956449229">
          <w:marLeft w:val="360"/>
          <w:marRight w:val="0"/>
          <w:marTop w:val="120"/>
          <w:marBottom w:val="0"/>
          <w:divBdr>
            <w:top w:val="none" w:sz="0" w:space="0" w:color="auto"/>
            <w:left w:val="none" w:sz="0" w:space="0" w:color="auto"/>
            <w:bottom w:val="none" w:sz="0" w:space="0" w:color="auto"/>
            <w:right w:val="none" w:sz="0" w:space="0" w:color="auto"/>
          </w:divBdr>
        </w:div>
        <w:div w:id="121507757">
          <w:marLeft w:val="360"/>
          <w:marRight w:val="0"/>
          <w:marTop w:val="120"/>
          <w:marBottom w:val="0"/>
          <w:divBdr>
            <w:top w:val="none" w:sz="0" w:space="0" w:color="auto"/>
            <w:left w:val="none" w:sz="0" w:space="0" w:color="auto"/>
            <w:bottom w:val="none" w:sz="0" w:space="0" w:color="auto"/>
            <w:right w:val="none" w:sz="0" w:space="0" w:color="auto"/>
          </w:divBdr>
        </w:div>
        <w:div w:id="498737225">
          <w:marLeft w:val="360"/>
          <w:marRight w:val="0"/>
          <w:marTop w:val="120"/>
          <w:marBottom w:val="0"/>
          <w:divBdr>
            <w:top w:val="none" w:sz="0" w:space="0" w:color="auto"/>
            <w:left w:val="none" w:sz="0" w:space="0" w:color="auto"/>
            <w:bottom w:val="none" w:sz="0" w:space="0" w:color="auto"/>
            <w:right w:val="none" w:sz="0" w:space="0" w:color="auto"/>
          </w:divBdr>
        </w:div>
        <w:div w:id="627779914">
          <w:marLeft w:val="360"/>
          <w:marRight w:val="0"/>
          <w:marTop w:val="120"/>
          <w:marBottom w:val="0"/>
          <w:divBdr>
            <w:top w:val="none" w:sz="0" w:space="0" w:color="auto"/>
            <w:left w:val="none" w:sz="0" w:space="0" w:color="auto"/>
            <w:bottom w:val="none" w:sz="0" w:space="0" w:color="auto"/>
            <w:right w:val="none" w:sz="0" w:space="0" w:color="auto"/>
          </w:divBdr>
        </w:div>
        <w:div w:id="614486330">
          <w:marLeft w:val="360"/>
          <w:marRight w:val="0"/>
          <w:marTop w:val="120"/>
          <w:marBottom w:val="0"/>
          <w:divBdr>
            <w:top w:val="none" w:sz="0" w:space="0" w:color="auto"/>
            <w:left w:val="none" w:sz="0" w:space="0" w:color="auto"/>
            <w:bottom w:val="none" w:sz="0" w:space="0" w:color="auto"/>
            <w:right w:val="none" w:sz="0" w:space="0" w:color="auto"/>
          </w:divBdr>
        </w:div>
        <w:div w:id="1426657603">
          <w:marLeft w:val="36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4882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Stefan Schipperges</cp:lastModifiedBy>
  <cp:revision>8</cp:revision>
  <dcterms:created xsi:type="dcterms:W3CDTF">2019-07-13T09:15:00Z</dcterms:created>
  <dcterms:modified xsi:type="dcterms:W3CDTF">2020-02-29T16:53:00Z</dcterms:modified>
</cp:coreProperties>
</file>