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2"/>
        <w:gridCol w:w="6315"/>
        <w:gridCol w:w="1134"/>
        <w:gridCol w:w="1134"/>
      </w:tblGrid>
      <w:tr w:rsidR="00BD50B1" w:rsidRPr="00572931" w:rsidTr="000F3EE5">
        <w:trPr>
          <w:trHeight w:val="690"/>
        </w:trPr>
        <w:tc>
          <w:tcPr>
            <w:tcW w:w="10065" w:type="dxa"/>
            <w:gridSpan w:val="4"/>
            <w:shd w:val="clear" w:color="000000" w:fill="auto"/>
            <w:vAlign w:val="center"/>
          </w:tcPr>
          <w:p w:rsidR="00B01496" w:rsidRPr="00572931" w:rsidRDefault="00BD50B1" w:rsidP="00B01496">
            <w:pPr>
              <w:rPr>
                <w:rFonts w:ascii="Arial" w:hAnsi="Arial" w:cs="Arial"/>
                <w:b/>
                <w:bCs/>
              </w:rPr>
            </w:pPr>
            <w:r w:rsidRPr="00572931">
              <w:rPr>
                <w:rFonts w:ascii="Arial" w:hAnsi="Arial" w:cs="Arial"/>
                <w:b/>
                <w:color w:val="000000"/>
              </w:rPr>
              <w:t>Unterrichtseinheit</w:t>
            </w:r>
            <w:r w:rsidRPr="00572931">
              <w:rPr>
                <w:rFonts w:ascii="Arial" w:hAnsi="Arial" w:cs="Arial"/>
                <w:color w:val="000000"/>
              </w:rPr>
              <w:t xml:space="preserve">: </w:t>
            </w:r>
            <w:r w:rsidR="0068625A" w:rsidRPr="00572931">
              <w:rPr>
                <w:rFonts w:ascii="Arial" w:hAnsi="Arial" w:cs="Arial"/>
                <w:b/>
                <w:bCs/>
                <w:color w:val="000000"/>
              </w:rPr>
              <w:t>3.4.1</w:t>
            </w:r>
            <w:r w:rsidR="0068625A" w:rsidRPr="00572931">
              <w:rPr>
                <w:rFonts w:ascii="Arial" w:hAnsi="Arial" w:cs="Arial"/>
                <w:color w:val="000000"/>
              </w:rPr>
              <w:t xml:space="preserve"> </w:t>
            </w:r>
            <w:r w:rsidR="00B01496" w:rsidRPr="00572931">
              <w:rPr>
                <w:rFonts w:ascii="Arial" w:hAnsi="Arial" w:cs="Arial"/>
                <w:b/>
                <w:bCs/>
              </w:rPr>
              <w:t>Fenster zur Welt: die politische und wirtschaftliche Modernisierung in den USA analysieren und deren Folgen bewerten</w:t>
            </w:r>
          </w:p>
          <w:p w:rsidR="00BD50B1" w:rsidRPr="00572931" w:rsidRDefault="00BD50B1" w:rsidP="000F3EE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508F0" w:rsidRPr="00572931" w:rsidRDefault="00BD50B1" w:rsidP="000F3EE5">
            <w:pPr>
              <w:rPr>
                <w:rFonts w:ascii="Arial" w:hAnsi="Arial" w:cs="Arial"/>
                <w:color w:val="000000"/>
                <w:sz w:val="20"/>
              </w:rPr>
            </w:pPr>
            <w:r w:rsidRPr="00572931">
              <w:rPr>
                <w:rFonts w:ascii="Arial" w:hAnsi="Arial" w:cs="Arial"/>
                <w:b/>
                <w:color w:val="000000"/>
                <w:sz w:val="20"/>
              </w:rPr>
              <w:t>Thema</w:t>
            </w:r>
            <w:r w:rsidRPr="00572931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B01496" w:rsidRPr="00572931">
              <w:rPr>
                <w:rFonts w:ascii="Arial" w:hAnsi="Arial" w:cs="Arial"/>
                <w:color w:val="000000"/>
                <w:sz w:val="20"/>
              </w:rPr>
              <w:t>Die USA im 19. Jahrhundert – Land der unbegrenzten Möglichkeiten?</w:t>
            </w:r>
          </w:p>
        </w:tc>
      </w:tr>
      <w:tr w:rsidR="00572931" w:rsidRPr="00572931" w:rsidTr="000F3EE5">
        <w:trPr>
          <w:trHeight w:val="690"/>
        </w:trPr>
        <w:tc>
          <w:tcPr>
            <w:tcW w:w="10065" w:type="dxa"/>
            <w:gridSpan w:val="4"/>
            <w:shd w:val="clear" w:color="000000" w:fill="auto"/>
            <w:vAlign w:val="center"/>
          </w:tcPr>
          <w:p w:rsidR="007651FA" w:rsidRPr="007651FA" w:rsidRDefault="007651FA" w:rsidP="005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1FA">
              <w:rPr>
                <w:rFonts w:ascii="Arial" w:hAnsi="Arial" w:cs="Arial"/>
                <w:b/>
                <w:bCs/>
                <w:sz w:val="20"/>
                <w:szCs w:val="20"/>
              </w:rPr>
              <w:t>die pol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itische und wirtschaftliche Modernisierung in den USA analysieren und deren Folgen bewerten</w:t>
            </w:r>
          </w:p>
          <w:p w:rsidR="0013768E" w:rsidRPr="008211C2" w:rsidRDefault="0013768E" w:rsidP="001376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1C2">
              <w:rPr>
                <w:rFonts w:ascii="Arial" w:hAnsi="Arial" w:cs="Arial"/>
                <w:b/>
                <w:bCs/>
                <w:sz w:val="20"/>
                <w:szCs w:val="20"/>
              </w:rPr>
              <w:t>5-stündig</w:t>
            </w:r>
          </w:p>
          <w:p w:rsidR="00572931" w:rsidRPr="00572931" w:rsidRDefault="0013768E" w:rsidP="0013768E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Verfassung</w:t>
            </w:r>
            <w:proofErr w:type="spellEnd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Jacksonian Democracy, </w:t>
            </w:r>
            <w:proofErr w:type="spellStart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Wahlrecht</w:t>
            </w:r>
            <w:proofErr w:type="spellEnd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Gilded Age, </w:t>
            </w:r>
            <w:proofErr w:type="spellStart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Taylorismus</w:t>
            </w:r>
            <w:proofErr w:type="spellEnd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Fordismus</w:t>
            </w:r>
            <w:proofErr w:type="spellEnd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Big Business, </w:t>
            </w:r>
            <w:proofErr w:type="spellStart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Massenkonsum</w:t>
            </w:r>
            <w:proofErr w:type="spellEnd"/>
            <w:r w:rsidRPr="008211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Boom, Laissez-faire, Trade Union)</w:t>
            </w:r>
          </w:p>
        </w:tc>
      </w:tr>
      <w:tr w:rsidR="00BD50B1" w:rsidRPr="00572931" w:rsidTr="000F3EE5">
        <w:trPr>
          <w:trHeight w:val="697"/>
        </w:trPr>
        <w:tc>
          <w:tcPr>
            <w:tcW w:w="10065" w:type="dxa"/>
            <w:gridSpan w:val="4"/>
            <w:tcBorders>
              <w:bottom w:val="single" w:sz="6" w:space="0" w:color="000000"/>
            </w:tcBorders>
            <w:shd w:val="clear" w:color="000000" w:fill="auto"/>
            <w:vAlign w:val="center"/>
          </w:tcPr>
          <w:p w:rsidR="00BF0B02" w:rsidRPr="00572931" w:rsidRDefault="00BD50B1" w:rsidP="000F3EE5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7293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Schwerpunkte des Kompetenzerwerbs: </w:t>
            </w:r>
          </w:p>
          <w:p w:rsidR="00BD50B1" w:rsidRPr="00572931" w:rsidRDefault="00CF758A" w:rsidP="000F3EE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Fragekompetenz /</w:t>
            </w:r>
            <w:r w:rsidR="00BF0B02"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 Methodenkompetenz </w:t>
            </w:r>
            <w:r w:rsidR="00EA5A98"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/ </w:t>
            </w:r>
            <w:r w:rsidR="00676129" w:rsidRPr="00572931">
              <w:rPr>
                <w:rFonts w:ascii="Arial" w:hAnsi="Arial" w:cs="Arial"/>
                <w:color w:val="000000"/>
                <w:sz w:val="20"/>
                <w:szCs w:val="22"/>
              </w:rPr>
              <w:t>Reflexion</w:t>
            </w:r>
            <w:r w:rsidR="00EA5A98"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skompetenz </w:t>
            </w:r>
            <w:r w:rsidR="004939B4"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/ Orientierungskompetenz </w:t>
            </w:r>
          </w:p>
        </w:tc>
      </w:tr>
      <w:tr w:rsidR="00BD50B1" w:rsidRPr="00B81541" w:rsidTr="00BF0B02">
        <w:trPr>
          <w:trHeight w:val="41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D50B1" w:rsidRPr="00572931" w:rsidRDefault="00BD50B1" w:rsidP="00D9558C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0"/>
                <w:lang w:val="en-US"/>
              </w:rPr>
            </w:pPr>
            <w:r w:rsidRPr="00572931">
              <w:rPr>
                <w:rFonts w:ascii="Arial" w:hAnsi="Arial" w:cs="Arial"/>
                <w:b/>
                <w:smallCaps/>
                <w:color w:val="000000"/>
                <w:sz w:val="20"/>
                <w:lang w:val="en-US"/>
              </w:rPr>
              <w:t xml:space="preserve">M ö g l </w:t>
            </w:r>
            <w:proofErr w:type="spellStart"/>
            <w:r w:rsidRPr="00572931">
              <w:rPr>
                <w:rFonts w:ascii="Arial" w:hAnsi="Arial" w:cs="Arial"/>
                <w:b/>
                <w:smallCaps/>
                <w:color w:val="000000"/>
                <w:sz w:val="20"/>
                <w:lang w:val="en-US"/>
              </w:rPr>
              <w:t>i</w:t>
            </w:r>
            <w:proofErr w:type="spellEnd"/>
            <w:r w:rsidRPr="00572931">
              <w:rPr>
                <w:rFonts w:ascii="Arial" w:hAnsi="Arial" w:cs="Arial"/>
                <w:b/>
                <w:smallCaps/>
                <w:color w:val="000000"/>
                <w:sz w:val="20"/>
                <w:lang w:val="en-US"/>
              </w:rPr>
              <w:t xml:space="preserve"> c h e r   V e r l </w:t>
            </w:r>
            <w:proofErr w:type="gramStart"/>
            <w:r w:rsidRPr="00572931">
              <w:rPr>
                <w:rFonts w:ascii="Arial" w:hAnsi="Arial" w:cs="Arial"/>
                <w:b/>
                <w:smallCaps/>
                <w:color w:val="000000"/>
                <w:sz w:val="20"/>
                <w:lang w:val="en-US"/>
              </w:rPr>
              <w:t>a</w:t>
            </w:r>
            <w:proofErr w:type="gramEnd"/>
            <w:r w:rsidRPr="00572931">
              <w:rPr>
                <w:rFonts w:ascii="Arial" w:hAnsi="Arial" w:cs="Arial"/>
                <w:b/>
                <w:smallCaps/>
                <w:color w:val="000000"/>
                <w:sz w:val="20"/>
                <w:lang w:val="en-US"/>
              </w:rPr>
              <w:t xml:space="preserve"> u f s p l a n</w:t>
            </w:r>
          </w:p>
        </w:tc>
      </w:tr>
      <w:tr w:rsidR="00BD50B1" w:rsidRPr="00572931" w:rsidTr="00BF0B02">
        <w:trPr>
          <w:trHeight w:val="414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572931" w:rsidRDefault="00BD50B1" w:rsidP="00D9558C">
            <w:pPr>
              <w:pStyle w:val="berschrift2"/>
              <w:jc w:val="center"/>
              <w:rPr>
                <w:rFonts w:ascii="Arial" w:hAnsi="Arial" w:cs="Arial"/>
                <w:color w:val="000000"/>
              </w:rPr>
            </w:pPr>
            <w:r w:rsidRPr="00572931">
              <w:rPr>
                <w:rFonts w:ascii="Arial" w:hAnsi="Arial" w:cs="Arial"/>
                <w:color w:val="000000"/>
              </w:rPr>
              <w:t>Phase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572931" w:rsidRDefault="00BD50B1" w:rsidP="00D9558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2931">
              <w:rPr>
                <w:rFonts w:ascii="Arial" w:hAnsi="Arial" w:cs="Arial"/>
                <w:b/>
                <w:color w:val="000000"/>
                <w:sz w:val="20"/>
              </w:rPr>
              <w:t>Kommentar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572931" w:rsidRDefault="00BD50B1" w:rsidP="00D9558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572931">
              <w:rPr>
                <w:rFonts w:ascii="Arial" w:hAnsi="Arial" w:cs="Arial"/>
                <w:b/>
                <w:color w:val="000000"/>
                <w:sz w:val="20"/>
              </w:rPr>
              <w:t>Soz.form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572931" w:rsidRDefault="00BD50B1" w:rsidP="00D9558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2931">
              <w:rPr>
                <w:rFonts w:ascii="Arial" w:hAnsi="Arial" w:cs="Arial"/>
                <w:b/>
                <w:color w:val="000000"/>
                <w:sz w:val="20"/>
              </w:rPr>
              <w:t>Medien</w:t>
            </w:r>
          </w:p>
        </w:tc>
      </w:tr>
      <w:tr w:rsidR="00F23FF0" w:rsidRPr="00572931" w:rsidTr="000A06B7">
        <w:trPr>
          <w:trHeight w:val="667"/>
        </w:trPr>
        <w:tc>
          <w:tcPr>
            <w:tcW w:w="1482" w:type="dxa"/>
            <w:vAlign w:val="center"/>
          </w:tcPr>
          <w:p w:rsidR="00F23FF0" w:rsidRPr="00572931" w:rsidRDefault="000A39A1" w:rsidP="00F23FF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Einstieg</w:t>
            </w:r>
          </w:p>
        </w:tc>
        <w:tc>
          <w:tcPr>
            <w:tcW w:w="6315" w:type="dxa"/>
            <w:vAlign w:val="center"/>
          </w:tcPr>
          <w:p w:rsidR="00F23FF0" w:rsidRPr="00572931" w:rsidRDefault="00B01496" w:rsidP="000C1DC4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Ein Blick auf die USA von außen und innen in der 1. und 2. Hälfte des 19. Jahrhunderts</w:t>
            </w:r>
          </w:p>
          <w:p w:rsidR="00A856AB" w:rsidRPr="00572931" w:rsidRDefault="00B01496" w:rsidP="00762282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Zitat Tocqueville 1831 analysieren und vergleichen mit Bombenexplosion Chicago 1886 (</w:t>
            </w:r>
            <w:r w:rsidR="00693EEB" w:rsidRPr="00572931">
              <w:rPr>
                <w:rFonts w:ascii="Arial" w:hAnsi="Arial" w:cs="Arial"/>
                <w:color w:val="000000"/>
                <w:sz w:val="20"/>
                <w:szCs w:val="22"/>
              </w:rPr>
              <w:t>H</w:t>
            </w: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arpers </w:t>
            </w:r>
            <w:proofErr w:type="spellStart"/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Weekly</w:t>
            </w:r>
            <w:proofErr w:type="spellEnd"/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) </w:t>
            </w:r>
          </w:p>
          <w:p w:rsidR="00B01496" w:rsidRPr="00572931" w:rsidRDefault="00B01496" w:rsidP="00762282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SuS</w:t>
            </w:r>
            <w:proofErr w:type="spellEnd"/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 entwickeln Fragen, die sich aus dem Verg</w:t>
            </w:r>
            <w:r w:rsidR="00693EEB" w:rsidRPr="00572931">
              <w:rPr>
                <w:rFonts w:ascii="Arial" w:hAnsi="Arial" w:cs="Arial"/>
                <w:color w:val="000000"/>
                <w:sz w:val="20"/>
                <w:szCs w:val="22"/>
              </w:rPr>
              <w:t>l</w:t>
            </w: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eich ergeben</w:t>
            </w:r>
          </w:p>
          <w:p w:rsidR="00B01496" w:rsidRPr="00572931" w:rsidRDefault="00B01496" w:rsidP="00693EEB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Bündelung und Ableitung der Stundenfrage, z.B.: </w:t>
            </w:r>
            <w:r w:rsidR="006066A3">
              <w:rPr>
                <w:rFonts w:ascii="Arial" w:hAnsi="Arial" w:cs="Arial"/>
                <w:color w:val="000000"/>
                <w:sz w:val="20"/>
                <w:szCs w:val="22"/>
              </w:rPr>
              <w:t>„</w:t>
            </w: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Bieten die USA wirklich jedem (wirtschaftliche)</w:t>
            </w:r>
            <w:r w:rsidR="007651FA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Unabhängigkeit und politische Partizipation</w:t>
            </w:r>
            <w:r w:rsidR="006066A3">
              <w:rPr>
                <w:rFonts w:ascii="Arial" w:hAnsi="Arial" w:cs="Arial"/>
                <w:color w:val="000000"/>
                <w:sz w:val="20"/>
                <w:szCs w:val="22"/>
              </w:rPr>
              <w:t>?“</w:t>
            </w: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6066A3">
              <w:rPr>
                <w:rFonts w:ascii="Arial" w:hAnsi="Arial" w:cs="Arial"/>
                <w:color w:val="000000"/>
                <w:sz w:val="20"/>
                <w:szCs w:val="22"/>
              </w:rPr>
              <w:t>oder „D</w:t>
            </w: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ie USA im 19. Jahrhundert – wirklich ein Land der „unbegrenzten“ Möglichkeiten?</w:t>
            </w:r>
            <w:r w:rsidR="006066A3">
              <w:rPr>
                <w:rFonts w:ascii="Arial" w:hAnsi="Arial" w:cs="Arial"/>
                <w:color w:val="000000"/>
                <w:sz w:val="20"/>
                <w:szCs w:val="22"/>
              </w:rPr>
              <w:t>“</w:t>
            </w:r>
          </w:p>
        </w:tc>
        <w:tc>
          <w:tcPr>
            <w:tcW w:w="1134" w:type="dxa"/>
            <w:vAlign w:val="center"/>
          </w:tcPr>
          <w:p w:rsidR="00CF758A" w:rsidRPr="00572931" w:rsidRDefault="00B01496" w:rsidP="000A39A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/>
                <w:sz w:val="20"/>
                <w:szCs w:val="22"/>
              </w:rPr>
              <w:t>UG</w:t>
            </w:r>
          </w:p>
        </w:tc>
        <w:tc>
          <w:tcPr>
            <w:tcW w:w="1134" w:type="dxa"/>
            <w:vAlign w:val="center"/>
          </w:tcPr>
          <w:p w:rsidR="00CF758A" w:rsidRPr="00572931" w:rsidRDefault="00B01496" w:rsidP="00CF758A">
            <w:pPr>
              <w:jc w:val="center"/>
              <w:rPr>
                <w:rFonts w:ascii="Arial" w:hAnsi="Arial" w:cs="Arial"/>
              </w:rPr>
            </w:pPr>
            <w:r w:rsidRPr="00572931">
              <w:rPr>
                <w:rFonts w:ascii="Arial" w:hAnsi="Arial" w:cs="Arial"/>
                <w:color w:val="4472C4" w:themeColor="accent1"/>
                <w:sz w:val="20"/>
              </w:rPr>
              <w:t>PP</w:t>
            </w:r>
          </w:p>
        </w:tc>
      </w:tr>
      <w:tr w:rsidR="00990C1E" w:rsidRPr="00572931" w:rsidTr="00E75BE2">
        <w:trPr>
          <w:trHeight w:val="1141"/>
        </w:trPr>
        <w:tc>
          <w:tcPr>
            <w:tcW w:w="1482" w:type="dxa"/>
            <w:vAlign w:val="center"/>
          </w:tcPr>
          <w:p w:rsidR="00990C1E" w:rsidRPr="00572931" w:rsidRDefault="00990C1E" w:rsidP="00F23FF0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Erarbeitung I</w:t>
            </w:r>
          </w:p>
        </w:tc>
        <w:tc>
          <w:tcPr>
            <w:tcW w:w="6315" w:type="dxa"/>
            <w:vAlign w:val="center"/>
          </w:tcPr>
          <w:p w:rsidR="00990C1E" w:rsidRPr="00572931" w:rsidRDefault="00B01496" w:rsidP="00F23FF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>Der historische Hintergrund I (Lehrervortrag)</w:t>
            </w:r>
          </w:p>
          <w:p w:rsidR="00B01496" w:rsidRPr="00572931" w:rsidRDefault="00B01496" w:rsidP="00F23FF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Von der 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„</w:t>
            </w:r>
            <w:proofErr w:type="spellStart"/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Jacksonian</w:t>
            </w:r>
            <w:proofErr w:type="spellEnd"/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Democracy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“</w:t>
            </w: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und der Markrevolution zur Zunahme sozialer Konflikte gegen Ende des Jahrhunderts</w:t>
            </w:r>
          </w:p>
          <w:p w:rsidR="00990C1E" w:rsidRPr="00572931" w:rsidRDefault="00B01496" w:rsidP="0076228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politische Modernisierung: 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J</w:t>
            </w: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ackson als Verkörperung des sozialen Aufstiegs und Symbol einer neuen politischen Kultur, in 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Anspruch</w:t>
            </w: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genommene Vertretung des „kleinen Mannes“, Ausweitung der politischen Partizipation durch die Einführung des allgemeinen Wahlrechts für weiße Männer</w:t>
            </w:r>
          </w:p>
          <w:p w:rsidR="00990C1E" w:rsidRPr="00572931" w:rsidRDefault="00762282" w:rsidP="0076228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wirtschaftliche Modernisierung: einschneidende Veränderungen vor 1865 </w:t>
            </w:r>
          </w:p>
          <w:p w:rsidR="00762282" w:rsidRPr="00572931" w:rsidRDefault="00762282" w:rsidP="0076228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Eigensicht der USA</w:t>
            </w:r>
          </w:p>
          <w:p w:rsidR="00762282" w:rsidRPr="00572931" w:rsidRDefault="00762282" w:rsidP="0076228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nach 1865 wirtschaftliches Auf und Ab, 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Zunahme</w:t>
            </w: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von Streiks</w:t>
            </w:r>
          </w:p>
        </w:tc>
        <w:tc>
          <w:tcPr>
            <w:tcW w:w="1134" w:type="dxa"/>
            <w:vAlign w:val="center"/>
          </w:tcPr>
          <w:p w:rsidR="007777F5" w:rsidRPr="00572931" w:rsidRDefault="007777F5" w:rsidP="000E0B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777F5" w:rsidRPr="00572931" w:rsidRDefault="00B01496" w:rsidP="00B014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LV</w:t>
            </w:r>
          </w:p>
        </w:tc>
        <w:tc>
          <w:tcPr>
            <w:tcW w:w="1134" w:type="dxa"/>
            <w:vAlign w:val="center"/>
          </w:tcPr>
          <w:p w:rsidR="00990C1E" w:rsidRPr="00572931" w:rsidRDefault="00B01496" w:rsidP="00856B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4472C4" w:themeColor="accent1"/>
                <w:sz w:val="20"/>
                <w:szCs w:val="22"/>
              </w:rPr>
              <w:t>PP</w:t>
            </w:r>
          </w:p>
        </w:tc>
      </w:tr>
      <w:tr w:rsidR="0057079D" w:rsidRPr="00572931" w:rsidTr="000A06B7">
        <w:trPr>
          <w:trHeight w:val="1404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79D" w:rsidRPr="00572931" w:rsidRDefault="000A06B7" w:rsidP="009C0A4E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Erarbeitung II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79D" w:rsidRPr="00572931" w:rsidRDefault="00762282" w:rsidP="005707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>Arbeitsteilige Erarbeitung</w:t>
            </w:r>
            <w:r w:rsidR="00F97D78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>:</w:t>
            </w: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 xml:space="preserve"> </w:t>
            </w:r>
            <w:r w:rsidR="006B4320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>politische und wirtschaftliche Partizipation nach 1865</w:t>
            </w:r>
          </w:p>
          <w:p w:rsidR="00762282" w:rsidRPr="00572931" w:rsidRDefault="000A06B7" w:rsidP="00693EE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Untersuchung der </w:t>
            </w:r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Konzentrationsprozesse nach 1865, Gewinner und Verlierer, Soziale Frage, </w:t>
            </w:r>
            <w:proofErr w:type="spellStart"/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Haymarket</w:t>
            </w:r>
            <w:proofErr w:type="spellEnd"/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(Fallstudie, s. Einstieg) und </w:t>
            </w:r>
            <w:r w:rsidR="006066A3">
              <w:rPr>
                <w:rFonts w:ascii="Arial" w:hAnsi="Arial" w:cs="Arial"/>
                <w:color w:val="000000" w:themeColor="text1"/>
                <w:sz w:val="20"/>
                <w:szCs w:val="22"/>
              </w:rPr>
              <w:t>Erarbeitung</w:t>
            </w:r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möglicher Kriterien für die Beantwortung der Stundenfrage (mögliche Vertiefung </w:t>
            </w:r>
            <w:proofErr w:type="spellStart"/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Jacksonian</w:t>
            </w:r>
            <w:proofErr w:type="spellEnd"/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Democracy)</w:t>
            </w:r>
          </w:p>
          <w:p w:rsidR="0057079D" w:rsidRPr="00572931" w:rsidRDefault="0057079D" w:rsidP="00693EE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Präsentation der S-Ergebnisse</w:t>
            </w:r>
            <w:r w:rsidR="000A06B7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Sicherung zentraler Aspekte </w:t>
            </w:r>
            <w:r w:rsidR="00E3042E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(</w:t>
            </w:r>
            <w:r w:rsidR="000A06B7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TA</w:t>
            </w:r>
            <w:r w:rsidR="00E3042E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  <w:p w:rsidR="00762282" w:rsidRPr="00572931" w:rsidRDefault="00762282" w:rsidP="00693EE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Definition des Begriffes „</w:t>
            </w:r>
            <w:proofErr w:type="spellStart"/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Gilded</w:t>
            </w:r>
            <w:proofErr w:type="spellEnd"/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Age“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(TA)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572931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57079D" w:rsidRPr="00572931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GA</w:t>
            </w:r>
          </w:p>
          <w:p w:rsidR="000A06B7" w:rsidRPr="00572931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0A06B7" w:rsidRPr="00572931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0A06B7" w:rsidRPr="00572931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UG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79D" w:rsidRPr="00572931" w:rsidRDefault="000057E1" w:rsidP="0067612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2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2"/>
              </w:rPr>
              <w:t>ABs</w:t>
            </w:r>
          </w:p>
        </w:tc>
      </w:tr>
      <w:tr w:rsidR="000A06B7" w:rsidRPr="00572931" w:rsidTr="00E75BE2">
        <w:trPr>
          <w:trHeight w:val="2212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572931" w:rsidRDefault="00762282" w:rsidP="009C0A4E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Reflexion und Transfer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572931" w:rsidRDefault="00762282" w:rsidP="000A06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Beantwortung der Stunde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n</w:t>
            </w: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frage mit Hilfe der gesammelten Kriterien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und Bewertung der Folgen</w:t>
            </w:r>
          </w:p>
          <w:p w:rsidR="00762282" w:rsidRPr="00572931" w:rsidRDefault="00762282" w:rsidP="000A06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693EEB" w:rsidRPr="00572931" w:rsidRDefault="00523D93" w:rsidP="000A06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Möglicher 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Transfer: Die USA zu Beginn des 21. Jahrhunderts – ein neues „</w:t>
            </w:r>
            <w:proofErr w:type="spellStart"/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Gilded</w:t>
            </w:r>
            <w:proofErr w:type="spellEnd"/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Age“?</w:t>
            </w:r>
          </w:p>
          <w:p w:rsidR="00693EEB" w:rsidRPr="00572931" w:rsidRDefault="00693EEB" w:rsidP="000A06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62282" w:rsidRPr="00572931" w:rsidRDefault="00523D93" w:rsidP="000A06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M</w:t>
            </w:r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ögliche Haus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au</w:t>
            </w:r>
            <w:r w:rsidR="00762282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fgabe:</w:t>
            </w:r>
            <w:r w:rsidR="00693EEB"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Die USA um 1900 (im Vergleich mit Europa) – Dimensionen: Politik, Gesellschaft, Wirtschaft, Kultur </w:t>
            </w:r>
          </w:p>
          <w:p w:rsidR="000A06B7" w:rsidRPr="00572931" w:rsidRDefault="000A06B7" w:rsidP="00E75BE2">
            <w:pPr>
              <w:ind w:left="7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572931" w:rsidRDefault="00354C76" w:rsidP="009C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000000" w:themeColor="text1"/>
                <w:sz w:val="20"/>
                <w:szCs w:val="22"/>
              </w:rPr>
              <w:t>UG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EEB" w:rsidRPr="00572931" w:rsidRDefault="00693EEB" w:rsidP="0067612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4472C4" w:themeColor="accent1"/>
                <w:sz w:val="20"/>
                <w:szCs w:val="22"/>
              </w:rPr>
              <w:t>PP</w:t>
            </w:r>
          </w:p>
          <w:p w:rsidR="000A06B7" w:rsidRPr="00572931" w:rsidRDefault="00693EEB" w:rsidP="0067612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2"/>
              </w:rPr>
            </w:pPr>
            <w:r w:rsidRPr="00572931">
              <w:rPr>
                <w:rFonts w:ascii="Arial" w:hAnsi="Arial" w:cs="Arial"/>
                <w:color w:val="4472C4" w:themeColor="accent1"/>
                <w:sz w:val="20"/>
                <w:szCs w:val="22"/>
              </w:rPr>
              <w:t>AB</w:t>
            </w:r>
          </w:p>
        </w:tc>
      </w:tr>
    </w:tbl>
    <w:p w:rsidR="006F04C9" w:rsidRPr="00572931" w:rsidRDefault="006F04C9" w:rsidP="00CF758A">
      <w:pPr>
        <w:spacing w:before="120"/>
        <w:rPr>
          <w:rFonts w:ascii="Arial" w:hAnsi="Arial" w:cs="Arial"/>
          <w:color w:val="A6A6A6" w:themeColor="background1" w:themeShade="A6"/>
          <w:sz w:val="4"/>
          <w:szCs w:val="22"/>
        </w:rPr>
      </w:pPr>
    </w:p>
    <w:sectPr w:rsidR="006F04C9" w:rsidRPr="00572931" w:rsidSect="00E75BE2">
      <w:pgSz w:w="11900" w:h="16840"/>
      <w:pgMar w:top="857" w:right="1417" w:bottom="10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25" w:rsidRDefault="00085525" w:rsidP="0068625A">
      <w:r>
        <w:separator/>
      </w:r>
    </w:p>
  </w:endnote>
  <w:endnote w:type="continuationSeparator" w:id="0">
    <w:p w:rsidR="00085525" w:rsidRDefault="00085525" w:rsidP="0068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25" w:rsidRDefault="00085525" w:rsidP="0068625A">
      <w:r>
        <w:separator/>
      </w:r>
    </w:p>
  </w:footnote>
  <w:footnote w:type="continuationSeparator" w:id="0">
    <w:p w:rsidR="00085525" w:rsidRDefault="00085525" w:rsidP="0068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5D2970"/>
    <w:multiLevelType w:val="hybridMultilevel"/>
    <w:tmpl w:val="E29C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2B8E"/>
    <w:multiLevelType w:val="hybridMultilevel"/>
    <w:tmpl w:val="1FB60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1E8"/>
    <w:multiLevelType w:val="hybridMultilevel"/>
    <w:tmpl w:val="7F6E4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4C2"/>
    <w:multiLevelType w:val="multilevel"/>
    <w:tmpl w:val="316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AD"/>
    <w:rsid w:val="000057E1"/>
    <w:rsid w:val="00010045"/>
    <w:rsid w:val="00010F20"/>
    <w:rsid w:val="00020C15"/>
    <w:rsid w:val="000479F0"/>
    <w:rsid w:val="00050A98"/>
    <w:rsid w:val="000550F7"/>
    <w:rsid w:val="00082817"/>
    <w:rsid w:val="00085525"/>
    <w:rsid w:val="0008608C"/>
    <w:rsid w:val="000A06B7"/>
    <w:rsid w:val="000A39A1"/>
    <w:rsid w:val="000A490A"/>
    <w:rsid w:val="000B0A81"/>
    <w:rsid w:val="000C1DC4"/>
    <w:rsid w:val="000C735C"/>
    <w:rsid w:val="000D0648"/>
    <w:rsid w:val="000E0BF0"/>
    <w:rsid w:val="000E1911"/>
    <w:rsid w:val="000E2F49"/>
    <w:rsid w:val="000F18EA"/>
    <w:rsid w:val="000F3EE5"/>
    <w:rsid w:val="001148AC"/>
    <w:rsid w:val="00127DFC"/>
    <w:rsid w:val="0013768E"/>
    <w:rsid w:val="00142A9E"/>
    <w:rsid w:val="001531E8"/>
    <w:rsid w:val="00180DC1"/>
    <w:rsid w:val="001827F4"/>
    <w:rsid w:val="00186757"/>
    <w:rsid w:val="00186EC0"/>
    <w:rsid w:val="001A2D3C"/>
    <w:rsid w:val="001B306A"/>
    <w:rsid w:val="001F6F59"/>
    <w:rsid w:val="002610F8"/>
    <w:rsid w:val="00266C7A"/>
    <w:rsid w:val="002B5FC9"/>
    <w:rsid w:val="002C08A2"/>
    <w:rsid w:val="002F5CF8"/>
    <w:rsid w:val="00354C76"/>
    <w:rsid w:val="003621F3"/>
    <w:rsid w:val="003753A3"/>
    <w:rsid w:val="003D04F3"/>
    <w:rsid w:val="003E5743"/>
    <w:rsid w:val="00400E5F"/>
    <w:rsid w:val="0041683D"/>
    <w:rsid w:val="0042007B"/>
    <w:rsid w:val="00421171"/>
    <w:rsid w:val="004254CD"/>
    <w:rsid w:val="004340AD"/>
    <w:rsid w:val="00435D9E"/>
    <w:rsid w:val="004702D5"/>
    <w:rsid w:val="00476C6B"/>
    <w:rsid w:val="00481334"/>
    <w:rsid w:val="00490E2F"/>
    <w:rsid w:val="004939B4"/>
    <w:rsid w:val="004A3F0C"/>
    <w:rsid w:val="004B5F64"/>
    <w:rsid w:val="004C34BC"/>
    <w:rsid w:val="004D55A3"/>
    <w:rsid w:val="004F18B6"/>
    <w:rsid w:val="004F675D"/>
    <w:rsid w:val="004F72DA"/>
    <w:rsid w:val="00523D93"/>
    <w:rsid w:val="00542068"/>
    <w:rsid w:val="00544152"/>
    <w:rsid w:val="0057079D"/>
    <w:rsid w:val="00572931"/>
    <w:rsid w:val="00592EF3"/>
    <w:rsid w:val="00600847"/>
    <w:rsid w:val="006066A3"/>
    <w:rsid w:val="006154B0"/>
    <w:rsid w:val="00622065"/>
    <w:rsid w:val="006446DC"/>
    <w:rsid w:val="00646CFD"/>
    <w:rsid w:val="00650689"/>
    <w:rsid w:val="006508F0"/>
    <w:rsid w:val="0067193F"/>
    <w:rsid w:val="00671E56"/>
    <w:rsid w:val="0067485D"/>
    <w:rsid w:val="00675E01"/>
    <w:rsid w:val="00676129"/>
    <w:rsid w:val="0068625A"/>
    <w:rsid w:val="00693EEB"/>
    <w:rsid w:val="006946F5"/>
    <w:rsid w:val="006B4320"/>
    <w:rsid w:val="006C24BD"/>
    <w:rsid w:val="006C52C7"/>
    <w:rsid w:val="006D4102"/>
    <w:rsid w:val="006D59FD"/>
    <w:rsid w:val="006E08BA"/>
    <w:rsid w:val="006E547D"/>
    <w:rsid w:val="006F04C9"/>
    <w:rsid w:val="006F5412"/>
    <w:rsid w:val="007224CB"/>
    <w:rsid w:val="00725079"/>
    <w:rsid w:val="00730F24"/>
    <w:rsid w:val="00741F51"/>
    <w:rsid w:val="007446CE"/>
    <w:rsid w:val="00756C5E"/>
    <w:rsid w:val="00761BD6"/>
    <w:rsid w:val="00762282"/>
    <w:rsid w:val="007651FA"/>
    <w:rsid w:val="007743EA"/>
    <w:rsid w:val="007777F5"/>
    <w:rsid w:val="007A6EB5"/>
    <w:rsid w:val="007A76EA"/>
    <w:rsid w:val="007B0075"/>
    <w:rsid w:val="007B6774"/>
    <w:rsid w:val="007D61CA"/>
    <w:rsid w:val="00804D38"/>
    <w:rsid w:val="00810FFA"/>
    <w:rsid w:val="00812C98"/>
    <w:rsid w:val="008211C2"/>
    <w:rsid w:val="00856B5C"/>
    <w:rsid w:val="008609C0"/>
    <w:rsid w:val="00885F95"/>
    <w:rsid w:val="008A6C5B"/>
    <w:rsid w:val="008D090B"/>
    <w:rsid w:val="008E468D"/>
    <w:rsid w:val="008E7A9F"/>
    <w:rsid w:val="008E7FC8"/>
    <w:rsid w:val="008F4396"/>
    <w:rsid w:val="00905CF1"/>
    <w:rsid w:val="00920AF1"/>
    <w:rsid w:val="009358CB"/>
    <w:rsid w:val="00942B74"/>
    <w:rsid w:val="00972CAB"/>
    <w:rsid w:val="00973296"/>
    <w:rsid w:val="00990C1E"/>
    <w:rsid w:val="009B275B"/>
    <w:rsid w:val="009B37FE"/>
    <w:rsid w:val="009B6A51"/>
    <w:rsid w:val="009D22FE"/>
    <w:rsid w:val="00A0092D"/>
    <w:rsid w:val="00A30662"/>
    <w:rsid w:val="00A43171"/>
    <w:rsid w:val="00A57740"/>
    <w:rsid w:val="00A61DC0"/>
    <w:rsid w:val="00A76E17"/>
    <w:rsid w:val="00A856AB"/>
    <w:rsid w:val="00AA33F6"/>
    <w:rsid w:val="00AC1CD1"/>
    <w:rsid w:val="00AC2285"/>
    <w:rsid w:val="00AD31E3"/>
    <w:rsid w:val="00AF43CC"/>
    <w:rsid w:val="00B01496"/>
    <w:rsid w:val="00B12FC1"/>
    <w:rsid w:val="00B81541"/>
    <w:rsid w:val="00BB3E51"/>
    <w:rsid w:val="00BC7A25"/>
    <w:rsid w:val="00BD50B1"/>
    <w:rsid w:val="00BE5A20"/>
    <w:rsid w:val="00BF0779"/>
    <w:rsid w:val="00BF0B02"/>
    <w:rsid w:val="00C445AD"/>
    <w:rsid w:val="00C62CB7"/>
    <w:rsid w:val="00C70262"/>
    <w:rsid w:val="00C8107A"/>
    <w:rsid w:val="00C95695"/>
    <w:rsid w:val="00CA6FDB"/>
    <w:rsid w:val="00CB52DF"/>
    <w:rsid w:val="00CF02D3"/>
    <w:rsid w:val="00CF758A"/>
    <w:rsid w:val="00D24463"/>
    <w:rsid w:val="00D24ACE"/>
    <w:rsid w:val="00D30142"/>
    <w:rsid w:val="00D54903"/>
    <w:rsid w:val="00D72CE7"/>
    <w:rsid w:val="00D759B5"/>
    <w:rsid w:val="00DA33ED"/>
    <w:rsid w:val="00DB5AEF"/>
    <w:rsid w:val="00DD6EAD"/>
    <w:rsid w:val="00E06924"/>
    <w:rsid w:val="00E16EA2"/>
    <w:rsid w:val="00E3042E"/>
    <w:rsid w:val="00E65D00"/>
    <w:rsid w:val="00E74F0B"/>
    <w:rsid w:val="00E74F17"/>
    <w:rsid w:val="00E75BE2"/>
    <w:rsid w:val="00E77C54"/>
    <w:rsid w:val="00E9309C"/>
    <w:rsid w:val="00EA1640"/>
    <w:rsid w:val="00EA1C24"/>
    <w:rsid w:val="00EA5A98"/>
    <w:rsid w:val="00ED2206"/>
    <w:rsid w:val="00ED5B22"/>
    <w:rsid w:val="00EE6CDE"/>
    <w:rsid w:val="00EF3A9B"/>
    <w:rsid w:val="00F013FF"/>
    <w:rsid w:val="00F23FF0"/>
    <w:rsid w:val="00F2416A"/>
    <w:rsid w:val="00F266CB"/>
    <w:rsid w:val="00F47349"/>
    <w:rsid w:val="00F50342"/>
    <w:rsid w:val="00F52988"/>
    <w:rsid w:val="00F73EF0"/>
    <w:rsid w:val="00F8118C"/>
    <w:rsid w:val="00F8319E"/>
    <w:rsid w:val="00F97D78"/>
    <w:rsid w:val="00FA22FE"/>
    <w:rsid w:val="00FB0727"/>
    <w:rsid w:val="00FB73D0"/>
    <w:rsid w:val="00FC4A84"/>
    <w:rsid w:val="00FD5044"/>
    <w:rsid w:val="00FE5E48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C28B"/>
  <w14:defaultImageDpi w14:val="32767"/>
  <w15:chartTrackingRefBased/>
  <w15:docId w15:val="{412CBCB3-1075-9A40-B4AE-2DD4C8E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7349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D50B1"/>
    <w:pPr>
      <w:keepNext/>
      <w:outlineLvl w:val="1"/>
    </w:pPr>
    <w:rPr>
      <w:rFonts w:ascii="Helvetica" w:eastAsia="Times" w:hAnsi="Helvetic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45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445A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BD50B1"/>
    <w:rPr>
      <w:rFonts w:ascii="Helvetica" w:eastAsia="Times" w:hAnsi="Helvetica" w:cs="Times New Roman"/>
      <w:b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rsid w:val="00BD50B1"/>
    <w:pPr>
      <w:ind w:left="240" w:hanging="240"/>
      <w:jc w:val="center"/>
    </w:pPr>
    <w:rPr>
      <w:rFonts w:eastAsia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AC22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ellenInhalt">
    <w:name w:val="Tabellen Inhalt"/>
    <w:basedOn w:val="Standard"/>
    <w:rsid w:val="000B0A8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language">
    <w:name w:val="language"/>
    <w:basedOn w:val="Absatz-Standardschriftart"/>
    <w:rsid w:val="007B6774"/>
  </w:style>
  <w:style w:type="character" w:customStyle="1" w:styleId="apple-converted-space">
    <w:name w:val="apple-converted-space"/>
    <w:basedOn w:val="Absatz-Standardschriftart"/>
    <w:rsid w:val="007B6774"/>
  </w:style>
  <w:style w:type="paragraph" w:customStyle="1" w:styleId="mw-mmv-license-li">
    <w:name w:val="mw-mmv-license-li"/>
    <w:basedOn w:val="Standard"/>
    <w:rsid w:val="002F5CF8"/>
    <w:pPr>
      <w:spacing w:before="100" w:beforeAutospacing="1" w:after="100" w:afterAutospacing="1"/>
    </w:pPr>
  </w:style>
  <w:style w:type="paragraph" w:customStyle="1" w:styleId="mw-mmv-filename-li">
    <w:name w:val="mw-mmv-filename-li"/>
    <w:basedOn w:val="Standard"/>
    <w:rsid w:val="002F5CF8"/>
    <w:pPr>
      <w:spacing w:before="100" w:beforeAutospacing="1" w:after="100" w:afterAutospacing="1"/>
    </w:pPr>
  </w:style>
  <w:style w:type="character" w:customStyle="1" w:styleId="mw-mmv-filename-prefix">
    <w:name w:val="mw-mmv-filename-prefix"/>
    <w:basedOn w:val="Absatz-Standardschriftart"/>
    <w:rsid w:val="002F5CF8"/>
  </w:style>
  <w:style w:type="character" w:customStyle="1" w:styleId="mw-mmv-filename">
    <w:name w:val="mw-mmv-filename"/>
    <w:basedOn w:val="Absatz-Standardschriftart"/>
    <w:rsid w:val="002F5CF8"/>
  </w:style>
  <w:style w:type="table" w:styleId="Tabellenraster">
    <w:name w:val="Table Grid"/>
    <w:basedOn w:val="NormaleTabelle"/>
    <w:uiPriority w:val="39"/>
    <w:rsid w:val="006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862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25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86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Kerstin Holzgraebe</cp:lastModifiedBy>
  <cp:revision>2</cp:revision>
  <cp:lastPrinted>2018-10-23T07:46:00Z</cp:lastPrinted>
  <dcterms:created xsi:type="dcterms:W3CDTF">2020-04-16T08:29:00Z</dcterms:created>
  <dcterms:modified xsi:type="dcterms:W3CDTF">2020-04-16T08:29:00Z</dcterms:modified>
</cp:coreProperties>
</file>