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C9E" w:rsidRDefault="009C7ECC" w:rsidP="006F1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0"/>
        <w:jc w:val="center"/>
        <w:rPr>
          <w:b/>
        </w:rPr>
      </w:pPr>
      <w:r>
        <w:rPr>
          <w:b/>
        </w:rPr>
        <w:t>Die Entwicklung der p</w:t>
      </w:r>
      <w:r w:rsidR="00622C9E">
        <w:rPr>
          <w:b/>
        </w:rPr>
        <w:t>olitische</w:t>
      </w:r>
      <w:r w:rsidR="001867BE">
        <w:rPr>
          <w:b/>
        </w:rPr>
        <w:t>n</w:t>
      </w:r>
      <w:r w:rsidR="00622C9E">
        <w:rPr>
          <w:b/>
        </w:rPr>
        <w:t xml:space="preserve"> Partizipation</w:t>
      </w:r>
      <w:r w:rsidR="002E215C">
        <w:rPr>
          <w:b/>
        </w:rPr>
        <w:t xml:space="preserve"> in den USA: </w:t>
      </w:r>
      <w:proofErr w:type="spellStart"/>
      <w:r w:rsidR="002E215C">
        <w:rPr>
          <w:b/>
        </w:rPr>
        <w:t>Jacksonian</w:t>
      </w:r>
      <w:proofErr w:type="spellEnd"/>
      <w:r w:rsidR="002E215C">
        <w:rPr>
          <w:b/>
        </w:rPr>
        <w:t xml:space="preserve"> Democracy</w:t>
      </w:r>
    </w:p>
    <w:p w:rsidR="00622C9E" w:rsidRDefault="00622C9E" w:rsidP="006F1C97">
      <w:pPr>
        <w:ind w:right="-290"/>
        <w:rPr>
          <w:b/>
        </w:rPr>
      </w:pPr>
    </w:p>
    <w:p w:rsidR="00087D64" w:rsidRPr="00821700" w:rsidRDefault="00171330" w:rsidP="006F1C97">
      <w:pPr>
        <w:ind w:right="-290"/>
        <w:rPr>
          <w:b/>
          <w:sz w:val="22"/>
          <w:szCs w:val="22"/>
        </w:rPr>
      </w:pPr>
      <w:r w:rsidRPr="00821700">
        <w:rPr>
          <w:b/>
          <w:sz w:val="22"/>
          <w:szCs w:val="22"/>
        </w:rPr>
        <w:t>M</w:t>
      </w:r>
      <w:r w:rsidR="00821700">
        <w:rPr>
          <w:b/>
          <w:sz w:val="22"/>
          <w:szCs w:val="22"/>
        </w:rPr>
        <w:t>1</w:t>
      </w:r>
      <w:r w:rsidR="006F1C97" w:rsidRPr="00821700">
        <w:rPr>
          <w:b/>
          <w:sz w:val="22"/>
          <w:szCs w:val="22"/>
        </w:rPr>
        <w:t xml:space="preserve"> Die US-Verfassung von 1789</w:t>
      </w:r>
    </w:p>
    <w:p w:rsidR="006F1C97" w:rsidRPr="00821700" w:rsidRDefault="006F1C97" w:rsidP="006F1C97">
      <w:pPr>
        <w:ind w:right="-290"/>
        <w:rPr>
          <w:b/>
          <w:sz w:val="22"/>
          <w:szCs w:val="22"/>
        </w:rPr>
      </w:pPr>
    </w:p>
    <w:p w:rsidR="00087D64" w:rsidRPr="00821700" w:rsidRDefault="00087D64" w:rsidP="006F1C97">
      <w:pPr>
        <w:ind w:right="-290"/>
        <w:jc w:val="both"/>
        <w:rPr>
          <w:sz w:val="22"/>
          <w:szCs w:val="22"/>
        </w:rPr>
      </w:pPr>
      <w:r w:rsidRPr="00821700">
        <w:rPr>
          <w:sz w:val="22"/>
          <w:szCs w:val="22"/>
        </w:rPr>
        <w:t>Obwohl die Revolution keine bestehende ständische Ordnung beseitigen muss</w:t>
      </w:r>
      <w:r w:rsidR="00A932E7">
        <w:rPr>
          <w:sz w:val="22"/>
          <w:szCs w:val="22"/>
        </w:rPr>
        <w:t>te</w:t>
      </w:r>
      <w:r w:rsidRPr="00821700">
        <w:rPr>
          <w:sz w:val="22"/>
          <w:szCs w:val="22"/>
        </w:rPr>
        <w:t xml:space="preserve">, </w:t>
      </w:r>
      <w:r w:rsidR="00A932E7">
        <w:rPr>
          <w:sz w:val="22"/>
          <w:szCs w:val="22"/>
        </w:rPr>
        <w:t>kam</w:t>
      </w:r>
      <w:r w:rsidRPr="00821700">
        <w:rPr>
          <w:sz w:val="22"/>
          <w:szCs w:val="22"/>
        </w:rPr>
        <w:t xml:space="preserve"> es zu einem Austausch großer Teile der kolonialen Oberschicht</w:t>
      </w:r>
      <w:r w:rsidR="009B5AA6" w:rsidRPr="00821700">
        <w:rPr>
          <w:sz w:val="22"/>
          <w:szCs w:val="22"/>
        </w:rPr>
        <w:t>. Der Anspruch den Menschen aus „politischer und religiöser Unmündigkeit“ zu befreien wie auch die gemeinsame Kriegserfahrung lös</w:t>
      </w:r>
      <w:r w:rsidR="00A932E7">
        <w:rPr>
          <w:sz w:val="22"/>
          <w:szCs w:val="22"/>
        </w:rPr>
        <w:t>t</w:t>
      </w:r>
      <w:r w:rsidR="009B5AA6" w:rsidRPr="00821700">
        <w:rPr>
          <w:sz w:val="22"/>
          <w:szCs w:val="22"/>
        </w:rPr>
        <w:t>en Forderungen nach breiter politischer Partizipation unabhängig von Geburt, Vermögen und Bildung aus</w:t>
      </w:r>
      <w:r w:rsidR="00DB3383" w:rsidRPr="00821700">
        <w:rPr>
          <w:sz w:val="22"/>
          <w:szCs w:val="22"/>
        </w:rPr>
        <w:t>.</w:t>
      </w:r>
    </w:p>
    <w:p w:rsidR="006201C9" w:rsidRPr="00821700" w:rsidRDefault="006201C9" w:rsidP="006F1C97">
      <w:pPr>
        <w:ind w:right="-290"/>
        <w:jc w:val="both"/>
        <w:rPr>
          <w:sz w:val="22"/>
          <w:szCs w:val="22"/>
        </w:rPr>
      </w:pPr>
      <w:r w:rsidRPr="00821700">
        <w:rPr>
          <w:sz w:val="22"/>
          <w:szCs w:val="22"/>
        </w:rPr>
        <w:t>Der 1787 tagende Verfassungskonvent von Philadelphia legt</w:t>
      </w:r>
      <w:r w:rsidR="00A932E7">
        <w:rPr>
          <w:sz w:val="22"/>
          <w:szCs w:val="22"/>
        </w:rPr>
        <w:t>e</w:t>
      </w:r>
      <w:r w:rsidRPr="00821700">
        <w:rPr>
          <w:sz w:val="22"/>
          <w:szCs w:val="22"/>
        </w:rPr>
        <w:t xml:space="preserve"> entscheidende Grundprinzipien der Verfassung fest, z. B die übergeordnete Stellung der Zentralregierung über die Einzelstaaten. Eine strikte Gewaltenteilung soll</w:t>
      </w:r>
      <w:r w:rsidR="00A932E7">
        <w:rPr>
          <w:sz w:val="22"/>
          <w:szCs w:val="22"/>
        </w:rPr>
        <w:t>te</w:t>
      </w:r>
      <w:r w:rsidRPr="00821700">
        <w:rPr>
          <w:sz w:val="22"/>
          <w:szCs w:val="22"/>
        </w:rPr>
        <w:t xml:space="preserve"> Machtmissbrauch</w:t>
      </w:r>
      <w:r w:rsidR="00850F04" w:rsidRPr="00821700">
        <w:rPr>
          <w:sz w:val="22"/>
          <w:szCs w:val="22"/>
        </w:rPr>
        <w:t xml:space="preserve"> verhindern</w:t>
      </w:r>
      <w:r w:rsidRPr="00821700">
        <w:rPr>
          <w:sz w:val="22"/>
          <w:szCs w:val="22"/>
        </w:rPr>
        <w:t xml:space="preserve">. </w:t>
      </w:r>
      <w:r w:rsidR="00581303" w:rsidRPr="00821700">
        <w:rPr>
          <w:sz w:val="22"/>
          <w:szCs w:val="22"/>
        </w:rPr>
        <w:t>Die</w:t>
      </w:r>
      <w:r w:rsidRPr="00821700">
        <w:rPr>
          <w:sz w:val="22"/>
          <w:szCs w:val="22"/>
        </w:rPr>
        <w:t xml:space="preserve"> direkte Volkswahl des Präsidenten </w:t>
      </w:r>
      <w:r w:rsidR="00A932E7">
        <w:rPr>
          <w:sz w:val="22"/>
          <w:szCs w:val="22"/>
        </w:rPr>
        <w:t>wurde</w:t>
      </w:r>
      <w:r w:rsidRPr="00821700">
        <w:rPr>
          <w:sz w:val="22"/>
          <w:szCs w:val="22"/>
        </w:rPr>
        <w:t xml:space="preserve"> als zu radikal abgelehnt</w:t>
      </w:r>
      <w:r w:rsidR="00383A38" w:rsidRPr="00821700">
        <w:rPr>
          <w:sz w:val="22"/>
          <w:szCs w:val="22"/>
        </w:rPr>
        <w:t xml:space="preserve">, weil sie die kleineren Staaten mit einer verhältnismäßig geringeren Zahl von weißen Wählern benachteiligt hätte. Außerdem </w:t>
      </w:r>
      <w:r w:rsidR="00A932E7">
        <w:rPr>
          <w:sz w:val="22"/>
          <w:szCs w:val="22"/>
        </w:rPr>
        <w:t>wurde</w:t>
      </w:r>
      <w:r w:rsidR="00383A38" w:rsidRPr="00821700">
        <w:rPr>
          <w:sz w:val="22"/>
          <w:szCs w:val="22"/>
        </w:rPr>
        <w:t xml:space="preserve"> das Wahlmännerkollegium zuerst von den Staatenparlamenten gewählt, deren Stimmenzahl von der jeweiligen Zahl der Senatoren und Abgeordneten im Kongress abh</w:t>
      </w:r>
      <w:r w:rsidR="00A932E7">
        <w:rPr>
          <w:sz w:val="22"/>
          <w:szCs w:val="22"/>
        </w:rPr>
        <w:t>ing</w:t>
      </w:r>
      <w:r w:rsidR="00383A38" w:rsidRPr="00821700">
        <w:rPr>
          <w:sz w:val="22"/>
          <w:szCs w:val="22"/>
        </w:rPr>
        <w:t>.</w:t>
      </w:r>
    </w:p>
    <w:p w:rsidR="00087D64" w:rsidRDefault="00087D64" w:rsidP="006F1C97">
      <w:pPr>
        <w:ind w:right="-290"/>
        <w:jc w:val="both"/>
      </w:pPr>
    </w:p>
    <w:p w:rsidR="00485CD7" w:rsidRPr="00485CD7" w:rsidRDefault="00485CD7" w:rsidP="006F1C97">
      <w:pPr>
        <w:ind w:right="-290"/>
        <w:jc w:val="both"/>
        <w:rPr>
          <w:b/>
          <w:bCs/>
        </w:rPr>
      </w:pPr>
      <w:r w:rsidRPr="00485CD7">
        <w:rPr>
          <w:b/>
          <w:bCs/>
        </w:rPr>
        <w:t xml:space="preserve">Verfassungsschema und Auszüge aus der Bill </w:t>
      </w:r>
      <w:proofErr w:type="spellStart"/>
      <w:r w:rsidRPr="00485CD7">
        <w:rPr>
          <w:b/>
          <w:bCs/>
        </w:rPr>
        <w:t>of</w:t>
      </w:r>
      <w:proofErr w:type="spellEnd"/>
      <w:r w:rsidRPr="00485CD7">
        <w:rPr>
          <w:b/>
          <w:bCs/>
        </w:rPr>
        <w:t xml:space="preserve"> </w:t>
      </w:r>
      <w:proofErr w:type="spellStart"/>
      <w:r w:rsidRPr="00485CD7">
        <w:rPr>
          <w:b/>
          <w:bCs/>
        </w:rPr>
        <w:t>Rights</w:t>
      </w:r>
      <w:proofErr w:type="spellEnd"/>
    </w:p>
    <w:p w:rsidR="00CC0FAB" w:rsidRPr="00CA2CA7" w:rsidRDefault="00CC0FAB" w:rsidP="006F1C97">
      <w:pPr>
        <w:ind w:right="-290"/>
        <w:jc w:val="both"/>
        <w:rPr>
          <w:sz w:val="18"/>
          <w:szCs w:val="18"/>
        </w:rPr>
      </w:pPr>
      <w:r w:rsidRPr="00CA2CA7">
        <w:rPr>
          <w:i/>
          <w:iCs/>
          <w:sz w:val="18"/>
          <w:szCs w:val="18"/>
        </w:rPr>
        <w:t>Geschichte und Geschehen</w:t>
      </w:r>
      <w:r w:rsidRPr="00CA2CA7">
        <w:rPr>
          <w:sz w:val="18"/>
          <w:szCs w:val="18"/>
        </w:rPr>
        <w:t>, Oberstufenband, 2015, S. 97</w:t>
      </w:r>
      <w:r w:rsidR="00CA2CA7" w:rsidRPr="00CA2CA7">
        <w:rPr>
          <w:sz w:val="18"/>
          <w:szCs w:val="18"/>
        </w:rPr>
        <w:t>.</w:t>
      </w:r>
    </w:p>
    <w:p w:rsidR="00CC0FAB" w:rsidRDefault="00CC0FAB" w:rsidP="006F1C97">
      <w:pPr>
        <w:ind w:right="-290"/>
        <w:jc w:val="both"/>
      </w:pPr>
    </w:p>
    <w:p w:rsidR="00485CD7" w:rsidRDefault="00171330" w:rsidP="006F1C97">
      <w:pPr>
        <w:ind w:right="-290"/>
        <w:jc w:val="both"/>
        <w:rPr>
          <w:b/>
          <w:sz w:val="22"/>
          <w:szCs w:val="22"/>
        </w:rPr>
      </w:pPr>
      <w:r w:rsidRPr="00551A7F">
        <w:rPr>
          <w:b/>
          <w:sz w:val="22"/>
          <w:szCs w:val="22"/>
        </w:rPr>
        <w:t>M</w:t>
      </w:r>
      <w:r w:rsidR="00821700">
        <w:rPr>
          <w:b/>
          <w:sz w:val="22"/>
          <w:szCs w:val="22"/>
        </w:rPr>
        <w:t>2</w:t>
      </w:r>
      <w:r w:rsidR="006F1C97" w:rsidRPr="00551A7F">
        <w:rPr>
          <w:b/>
          <w:sz w:val="22"/>
          <w:szCs w:val="22"/>
        </w:rPr>
        <w:t xml:space="preserve"> Der Historiker Norbert </w:t>
      </w:r>
      <w:proofErr w:type="spellStart"/>
      <w:r w:rsidR="006F1C97" w:rsidRPr="00551A7F">
        <w:rPr>
          <w:b/>
          <w:sz w:val="22"/>
          <w:szCs w:val="22"/>
        </w:rPr>
        <w:t>Finzsch</w:t>
      </w:r>
      <w:proofErr w:type="spellEnd"/>
      <w:r w:rsidR="006F1C97" w:rsidRPr="00551A7F">
        <w:rPr>
          <w:b/>
          <w:sz w:val="22"/>
          <w:szCs w:val="22"/>
        </w:rPr>
        <w:t xml:space="preserve"> über die Entwicklung der Parteiendemokratie in den USA</w:t>
      </w:r>
      <w:r w:rsidR="00551A7F" w:rsidRPr="00551A7F">
        <w:rPr>
          <w:b/>
          <w:sz w:val="22"/>
          <w:szCs w:val="22"/>
        </w:rPr>
        <w:t xml:space="preserve"> im frühen 19. Jahrhundert und </w:t>
      </w:r>
      <w:r w:rsidR="004A624B">
        <w:rPr>
          <w:b/>
          <w:sz w:val="22"/>
          <w:szCs w:val="22"/>
        </w:rPr>
        <w:t>die Rolle des</w:t>
      </w:r>
      <w:r w:rsidR="00551A7F" w:rsidRPr="00551A7F">
        <w:rPr>
          <w:b/>
          <w:sz w:val="22"/>
          <w:szCs w:val="22"/>
        </w:rPr>
        <w:t xml:space="preserve"> US-Präsidenten Andrew Jackson</w:t>
      </w:r>
    </w:p>
    <w:p w:rsidR="00432729" w:rsidRDefault="00551A7F" w:rsidP="006F1C97">
      <w:pPr>
        <w:ind w:right="-290"/>
        <w:jc w:val="both"/>
        <w:rPr>
          <w:sz w:val="18"/>
          <w:szCs w:val="18"/>
        </w:rPr>
      </w:pPr>
      <w:r w:rsidRPr="00905A68">
        <w:rPr>
          <w:sz w:val="18"/>
          <w:szCs w:val="18"/>
        </w:rPr>
        <w:t xml:space="preserve">Norbert </w:t>
      </w:r>
      <w:proofErr w:type="spellStart"/>
      <w:r w:rsidRPr="00905A68">
        <w:rPr>
          <w:sz w:val="18"/>
          <w:szCs w:val="18"/>
        </w:rPr>
        <w:t>Finzsch</w:t>
      </w:r>
      <w:proofErr w:type="spellEnd"/>
      <w:r w:rsidRPr="00905A68">
        <w:rPr>
          <w:sz w:val="18"/>
          <w:szCs w:val="18"/>
        </w:rPr>
        <w:t xml:space="preserve">. </w:t>
      </w:r>
      <w:r w:rsidRPr="00905A68">
        <w:rPr>
          <w:i/>
          <w:sz w:val="18"/>
          <w:szCs w:val="18"/>
        </w:rPr>
        <w:t>Konsolidierung und Dissens. Nordamerika von 1800 bis 1865. Geschichte Nordamerikas in atlantischer Perspektive von den Anfängen bis zur Gegenwart. Band 5.</w:t>
      </w:r>
      <w:r w:rsidRPr="00905A68">
        <w:rPr>
          <w:sz w:val="18"/>
          <w:szCs w:val="18"/>
        </w:rPr>
        <w:t xml:space="preserve"> Münster 2005</w:t>
      </w:r>
      <w:r w:rsidRPr="00C64A1D">
        <w:rPr>
          <w:sz w:val="18"/>
          <w:szCs w:val="18"/>
        </w:rPr>
        <w:t>, S.</w:t>
      </w:r>
      <w:r>
        <w:rPr>
          <w:sz w:val="18"/>
          <w:szCs w:val="18"/>
        </w:rPr>
        <w:t xml:space="preserve"> 247 – 2</w:t>
      </w:r>
      <w:r w:rsidR="00485CD7">
        <w:rPr>
          <w:sz w:val="18"/>
          <w:szCs w:val="18"/>
        </w:rPr>
        <w:t>65</w:t>
      </w:r>
      <w:r>
        <w:rPr>
          <w:sz w:val="18"/>
          <w:szCs w:val="18"/>
        </w:rPr>
        <w:t>.</w:t>
      </w:r>
    </w:p>
    <w:p w:rsidR="000E3EFA" w:rsidRDefault="000E3EFA" w:rsidP="009C284D">
      <w:pPr>
        <w:ind w:right="-290"/>
        <w:jc w:val="both"/>
        <w:rPr>
          <w:b/>
          <w:bCs/>
          <w:sz w:val="22"/>
          <w:szCs w:val="22"/>
        </w:rPr>
      </w:pPr>
    </w:p>
    <w:p w:rsidR="009C284D" w:rsidRDefault="009C284D" w:rsidP="009C284D">
      <w:pPr>
        <w:ind w:right="-290"/>
        <w:jc w:val="both"/>
        <w:rPr>
          <w:b/>
          <w:bCs/>
          <w:sz w:val="22"/>
          <w:szCs w:val="22"/>
        </w:rPr>
      </w:pPr>
      <w:r w:rsidRPr="00EF021E">
        <w:rPr>
          <w:b/>
          <w:bCs/>
          <w:sz w:val="22"/>
          <w:szCs w:val="22"/>
        </w:rPr>
        <w:t>M</w:t>
      </w:r>
      <w:r w:rsidR="000555FB">
        <w:rPr>
          <w:b/>
          <w:bCs/>
          <w:sz w:val="22"/>
          <w:szCs w:val="22"/>
        </w:rPr>
        <w:t>3</w:t>
      </w:r>
      <w:r w:rsidRPr="00EF021E">
        <w:rPr>
          <w:b/>
          <w:bCs/>
          <w:sz w:val="22"/>
          <w:szCs w:val="22"/>
        </w:rPr>
        <w:t xml:space="preserve"> Aus einer</w:t>
      </w:r>
      <w:r>
        <w:rPr>
          <w:b/>
          <w:bCs/>
          <w:sz w:val="22"/>
          <w:szCs w:val="22"/>
        </w:rPr>
        <w:t xml:space="preserve"> </w:t>
      </w:r>
      <w:r w:rsidRPr="00EF021E">
        <w:rPr>
          <w:b/>
          <w:bCs/>
          <w:sz w:val="22"/>
          <w:szCs w:val="22"/>
        </w:rPr>
        <w:t>Kongressbotschaft des US-Präsidenten Andrew Jackson (1832)</w:t>
      </w:r>
    </w:p>
    <w:p w:rsidR="00485CD7" w:rsidRPr="00485CD7" w:rsidRDefault="00485CD7" w:rsidP="009C284D">
      <w:pPr>
        <w:ind w:right="-290"/>
        <w:jc w:val="both"/>
        <w:rPr>
          <w:sz w:val="20"/>
          <w:szCs w:val="20"/>
        </w:rPr>
      </w:pPr>
      <w:r w:rsidRPr="00485CD7">
        <w:rPr>
          <w:sz w:val="20"/>
          <w:szCs w:val="20"/>
        </w:rPr>
        <w:t>Zitiert nach: Erich Angermann (</w:t>
      </w:r>
      <w:proofErr w:type="spellStart"/>
      <w:r w:rsidRPr="00485CD7">
        <w:rPr>
          <w:sz w:val="20"/>
          <w:szCs w:val="20"/>
        </w:rPr>
        <w:t>Hg</w:t>
      </w:r>
      <w:proofErr w:type="spellEnd"/>
      <w:r w:rsidRPr="00485CD7">
        <w:rPr>
          <w:sz w:val="20"/>
          <w:szCs w:val="20"/>
        </w:rPr>
        <w:t xml:space="preserve">.). </w:t>
      </w:r>
      <w:r w:rsidRPr="00485CD7">
        <w:rPr>
          <w:i/>
          <w:iCs/>
          <w:sz w:val="20"/>
          <w:szCs w:val="20"/>
        </w:rPr>
        <w:t>Der Aufstieg der vereinigten Staaten von Amerika. Innen- und außenpolitische Entwicklung 1607-1917</w:t>
      </w:r>
      <w:r w:rsidRPr="00485CD7">
        <w:rPr>
          <w:sz w:val="20"/>
          <w:szCs w:val="20"/>
        </w:rPr>
        <w:t>. Stuttgart 1981, S. 25f.</w:t>
      </w:r>
    </w:p>
    <w:p w:rsidR="009C284D" w:rsidRDefault="009C284D" w:rsidP="009C284D">
      <w:pPr>
        <w:ind w:right="-290"/>
        <w:jc w:val="both"/>
        <w:rPr>
          <w:sz w:val="18"/>
          <w:szCs w:val="18"/>
        </w:rPr>
      </w:pPr>
    </w:p>
    <w:p w:rsidR="009C284D" w:rsidRDefault="00B42AF0" w:rsidP="006F1C97">
      <w:pPr>
        <w:ind w:right="-290"/>
        <w:jc w:val="both"/>
        <w:rPr>
          <w:b/>
          <w:bCs/>
          <w:i/>
          <w:iCs/>
          <w:sz w:val="22"/>
          <w:szCs w:val="22"/>
        </w:rPr>
      </w:pPr>
      <w:r w:rsidRPr="000E3EFA">
        <w:rPr>
          <w:b/>
          <w:bCs/>
          <w:sz w:val="22"/>
          <w:szCs w:val="22"/>
        </w:rPr>
        <w:t>M</w:t>
      </w:r>
      <w:r w:rsidR="000555FB">
        <w:rPr>
          <w:b/>
          <w:bCs/>
          <w:sz w:val="22"/>
          <w:szCs w:val="22"/>
        </w:rPr>
        <w:t>4</w:t>
      </w:r>
      <w:r w:rsidRPr="000E3EFA">
        <w:rPr>
          <w:b/>
          <w:bCs/>
          <w:sz w:val="22"/>
          <w:szCs w:val="22"/>
        </w:rPr>
        <w:t xml:space="preserve"> Der französische Politiker Alexis de Tocqueville </w:t>
      </w:r>
      <w:r w:rsidR="000E3EFA" w:rsidRPr="000E3EFA">
        <w:rPr>
          <w:b/>
          <w:bCs/>
          <w:sz w:val="22"/>
          <w:szCs w:val="22"/>
        </w:rPr>
        <w:t xml:space="preserve">über die </w:t>
      </w:r>
      <w:proofErr w:type="spellStart"/>
      <w:r w:rsidR="000E3EFA" w:rsidRPr="000E3EFA">
        <w:rPr>
          <w:b/>
          <w:bCs/>
          <w:i/>
          <w:iCs/>
          <w:sz w:val="22"/>
          <w:szCs w:val="22"/>
        </w:rPr>
        <w:t>Jacksonian</w:t>
      </w:r>
      <w:proofErr w:type="spellEnd"/>
      <w:r w:rsidR="000E3EFA" w:rsidRPr="000E3EFA">
        <w:rPr>
          <w:b/>
          <w:bCs/>
          <w:i/>
          <w:iCs/>
          <w:sz w:val="22"/>
          <w:szCs w:val="22"/>
        </w:rPr>
        <w:t xml:space="preserve"> Democracy</w:t>
      </w:r>
    </w:p>
    <w:p w:rsidR="00485CD7" w:rsidRPr="00485CD7" w:rsidRDefault="00485CD7" w:rsidP="006F1C97">
      <w:pPr>
        <w:ind w:right="-290"/>
        <w:jc w:val="both"/>
        <w:rPr>
          <w:sz w:val="20"/>
          <w:szCs w:val="20"/>
        </w:rPr>
      </w:pPr>
      <w:r w:rsidRPr="00485CD7">
        <w:rPr>
          <w:sz w:val="20"/>
          <w:szCs w:val="20"/>
        </w:rPr>
        <w:t>Zitiert nach</w:t>
      </w:r>
      <w:r>
        <w:rPr>
          <w:sz w:val="20"/>
          <w:szCs w:val="20"/>
        </w:rPr>
        <w:t xml:space="preserve">: Siegfried Landshut. </w:t>
      </w:r>
      <w:r w:rsidRPr="00485CD7">
        <w:rPr>
          <w:i/>
          <w:iCs/>
          <w:sz w:val="20"/>
          <w:szCs w:val="20"/>
        </w:rPr>
        <w:t>Das Zeitalter der Gleichheit. Eine Auswahl aus dem Gesamtwerk</w:t>
      </w:r>
      <w:r>
        <w:rPr>
          <w:sz w:val="20"/>
          <w:szCs w:val="20"/>
        </w:rPr>
        <w:t>. Stuttgart 1954, S. 269ff.</w:t>
      </w:r>
    </w:p>
    <w:p w:rsidR="000E3EFA" w:rsidRDefault="000E3EFA" w:rsidP="006F1C97">
      <w:pPr>
        <w:ind w:right="-290"/>
        <w:jc w:val="both"/>
        <w:rPr>
          <w:b/>
          <w:bCs/>
          <w:i/>
          <w:iCs/>
          <w:sz w:val="22"/>
          <w:szCs w:val="22"/>
        </w:rPr>
      </w:pPr>
    </w:p>
    <w:p w:rsidR="000E3EFA" w:rsidRDefault="000E3EFA" w:rsidP="006F1C97">
      <w:pPr>
        <w:ind w:right="-290"/>
        <w:jc w:val="both"/>
      </w:pPr>
    </w:p>
    <w:p w:rsidR="000E3EFA" w:rsidRDefault="000E3EFA" w:rsidP="006F1C97">
      <w:pPr>
        <w:ind w:right="-290"/>
        <w:jc w:val="both"/>
        <w:rPr>
          <w:b/>
          <w:bCs/>
        </w:rPr>
      </w:pPr>
      <w:r w:rsidRPr="000E3EFA">
        <w:rPr>
          <w:b/>
          <w:bCs/>
        </w:rPr>
        <w:t>Aufgaben:</w:t>
      </w:r>
    </w:p>
    <w:p w:rsidR="0004382A" w:rsidRPr="000E3EFA" w:rsidRDefault="0004382A" w:rsidP="006F1C97">
      <w:pPr>
        <w:ind w:right="-290"/>
        <w:jc w:val="both"/>
        <w:rPr>
          <w:b/>
          <w:bCs/>
        </w:rPr>
      </w:pPr>
    </w:p>
    <w:p w:rsidR="000E3EFA" w:rsidRDefault="000E3EFA" w:rsidP="0004382A">
      <w:pPr>
        <w:pStyle w:val="Listenabsatz"/>
        <w:numPr>
          <w:ilvl w:val="0"/>
          <w:numId w:val="3"/>
        </w:numPr>
        <w:spacing w:line="360" w:lineRule="auto"/>
        <w:ind w:right="-290"/>
        <w:jc w:val="both"/>
      </w:pPr>
      <w:r>
        <w:t>Arbeiten Sie thesenartig die Grundlagen der US-Verfassung heraus. (M1)</w:t>
      </w:r>
    </w:p>
    <w:p w:rsidR="000E3EFA" w:rsidRDefault="000E3EFA" w:rsidP="0004382A">
      <w:pPr>
        <w:pStyle w:val="Listenabsatz"/>
        <w:numPr>
          <w:ilvl w:val="0"/>
          <w:numId w:val="3"/>
        </w:numPr>
        <w:spacing w:line="360" w:lineRule="auto"/>
        <w:ind w:right="-290"/>
        <w:jc w:val="both"/>
      </w:pPr>
      <w:r>
        <w:t>Charakterisieren Sie die Entwicklung der US-amerikanischen Parteiendemokratie im frühen 19. Jahrhundert. (M2)</w:t>
      </w:r>
    </w:p>
    <w:p w:rsidR="000E3EFA" w:rsidRDefault="000E3EFA" w:rsidP="0004382A">
      <w:pPr>
        <w:pStyle w:val="Listenabsatz"/>
        <w:numPr>
          <w:ilvl w:val="0"/>
          <w:numId w:val="3"/>
        </w:numPr>
        <w:spacing w:line="360" w:lineRule="auto"/>
        <w:ind w:right="-290"/>
        <w:jc w:val="both"/>
      </w:pPr>
      <w:r>
        <w:t xml:space="preserve">Stellen Sie mit Hilfe von M3 dar, warum </w:t>
      </w:r>
      <w:r w:rsidR="000555FB">
        <w:t>sich Andrew Jackson den Ruf des Fürsprechers des „</w:t>
      </w:r>
      <w:proofErr w:type="spellStart"/>
      <w:r w:rsidR="000555FB">
        <w:t>common</w:t>
      </w:r>
      <w:proofErr w:type="spellEnd"/>
      <w:r w:rsidR="000555FB">
        <w:t xml:space="preserve"> man“ erwarb.</w:t>
      </w:r>
    </w:p>
    <w:p w:rsidR="000555FB" w:rsidRDefault="000555FB" w:rsidP="0004382A">
      <w:pPr>
        <w:pStyle w:val="Listenabsatz"/>
        <w:numPr>
          <w:ilvl w:val="0"/>
          <w:numId w:val="3"/>
        </w:numPr>
        <w:spacing w:line="360" w:lineRule="auto"/>
        <w:ind w:right="-290"/>
        <w:jc w:val="both"/>
      </w:pPr>
      <w:r>
        <w:t>Stellen Sie mit Hilfe von M4 dar, warum unter anderem europäische Besucher zwischen Ablehnung und Faszination schwankten.</w:t>
      </w:r>
    </w:p>
    <w:p w:rsidR="000555FB" w:rsidRDefault="000555FB" w:rsidP="006F1C97">
      <w:pPr>
        <w:ind w:right="-290"/>
        <w:jc w:val="both"/>
      </w:pPr>
    </w:p>
    <w:p w:rsidR="000555FB" w:rsidRPr="000555FB" w:rsidRDefault="000555FB" w:rsidP="000555FB">
      <w:pPr>
        <w:ind w:right="-290"/>
        <w:jc w:val="both"/>
        <w:rPr>
          <w:b/>
          <w:bCs/>
        </w:rPr>
      </w:pPr>
      <w:r w:rsidRPr="000555FB">
        <w:rPr>
          <w:b/>
          <w:bCs/>
        </w:rPr>
        <w:t>Für den bilingualen Geschichtsunterricht:</w:t>
      </w:r>
    </w:p>
    <w:p w:rsidR="00485CD7" w:rsidRDefault="000555FB" w:rsidP="00485CD7">
      <w:pPr>
        <w:ind w:right="-290"/>
        <w:jc w:val="both"/>
        <w:rPr>
          <w:b/>
          <w:bCs/>
          <w:sz w:val="22"/>
          <w:szCs w:val="22"/>
        </w:rPr>
      </w:pPr>
      <w:r w:rsidRPr="00B42AF0">
        <w:rPr>
          <w:b/>
          <w:bCs/>
          <w:sz w:val="22"/>
          <w:szCs w:val="22"/>
        </w:rPr>
        <w:t xml:space="preserve">Margaret Smith, Washingtoner Society Lady, schreibt in </w:t>
      </w:r>
      <w:r>
        <w:rPr>
          <w:b/>
          <w:bCs/>
          <w:sz w:val="22"/>
          <w:szCs w:val="22"/>
        </w:rPr>
        <w:t>einem Brief</w:t>
      </w:r>
      <w:r w:rsidRPr="00B42AF0">
        <w:rPr>
          <w:b/>
          <w:bCs/>
          <w:sz w:val="22"/>
          <w:szCs w:val="22"/>
        </w:rPr>
        <w:t xml:space="preserve"> über die Amtseinführung Jackson (11.3.1829)</w:t>
      </w:r>
    </w:p>
    <w:p w:rsidR="000E3EFA" w:rsidRPr="00485CD7" w:rsidRDefault="000E3EFA" w:rsidP="00485CD7">
      <w:pPr>
        <w:ind w:right="-290"/>
        <w:jc w:val="both"/>
        <w:rPr>
          <w:i/>
          <w:sz w:val="20"/>
          <w:szCs w:val="20"/>
        </w:rPr>
      </w:pPr>
      <w:r w:rsidRPr="00485CD7">
        <w:rPr>
          <w:i/>
          <w:sz w:val="20"/>
          <w:szCs w:val="20"/>
        </w:rPr>
        <w:t xml:space="preserve">https://millercenter.org/the-presidency/presidential-speeches/december-8-1829-first-annual-message-congress </w:t>
      </w:r>
    </w:p>
    <w:p w:rsidR="000E3EFA" w:rsidRPr="00440603" w:rsidRDefault="000E3EFA" w:rsidP="000E3EFA">
      <w:pPr>
        <w:ind w:right="-290"/>
        <w:rPr>
          <w:i/>
          <w:sz w:val="20"/>
          <w:szCs w:val="20"/>
        </w:rPr>
      </w:pPr>
      <w:r w:rsidRPr="00440603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siehe auch </w:t>
      </w:r>
      <w:r w:rsidRPr="00440603">
        <w:rPr>
          <w:i/>
          <w:sz w:val="20"/>
          <w:szCs w:val="20"/>
        </w:rPr>
        <w:t>https://en.wikisource.org/wiki/Andrew_Jackson%27s_First_State_of_the_</w:t>
      </w:r>
      <w:r>
        <w:rPr>
          <w:i/>
          <w:sz w:val="20"/>
          <w:szCs w:val="20"/>
        </w:rPr>
        <w:t xml:space="preserve"> </w:t>
      </w:r>
      <w:proofErr w:type="spellStart"/>
      <w:r w:rsidRPr="00440603">
        <w:rPr>
          <w:i/>
          <w:sz w:val="20"/>
          <w:szCs w:val="20"/>
        </w:rPr>
        <w:t>Union_Address</w:t>
      </w:r>
      <w:proofErr w:type="spellEnd"/>
      <w:r>
        <w:rPr>
          <w:i/>
          <w:sz w:val="20"/>
          <w:szCs w:val="20"/>
        </w:rPr>
        <w:t xml:space="preserve"> und </w:t>
      </w:r>
      <w:r w:rsidRPr="00440603">
        <w:rPr>
          <w:i/>
          <w:sz w:val="20"/>
          <w:szCs w:val="20"/>
        </w:rPr>
        <w:t>https://www.loc.gov/resource/maj.08173_0094_0096/?st=gallery</w:t>
      </w:r>
      <w:r>
        <w:rPr>
          <w:i/>
          <w:sz w:val="20"/>
          <w:szCs w:val="20"/>
        </w:rPr>
        <w:t>)</w:t>
      </w:r>
    </w:p>
    <w:p w:rsidR="000E3EFA" w:rsidRPr="00440603" w:rsidRDefault="000E3EFA" w:rsidP="000E3EFA">
      <w:pPr>
        <w:ind w:right="-290"/>
        <w:jc w:val="both"/>
        <w:rPr>
          <w:i/>
        </w:rPr>
      </w:pPr>
    </w:p>
    <w:sectPr w:rsidR="000E3EFA" w:rsidRPr="00440603" w:rsidSect="004A624B">
      <w:type w:val="continuous"/>
      <w:pgSz w:w="11900" w:h="16840"/>
      <w:pgMar w:top="479" w:right="1127" w:bottom="6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9E3"/>
    <w:multiLevelType w:val="hybridMultilevel"/>
    <w:tmpl w:val="2D488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60FB2"/>
    <w:multiLevelType w:val="multilevel"/>
    <w:tmpl w:val="0407001D"/>
    <w:styleLink w:val="ListeAbi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D464728"/>
    <w:multiLevelType w:val="hybridMultilevel"/>
    <w:tmpl w:val="3B56C3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CA"/>
    <w:rsid w:val="0004382A"/>
    <w:rsid w:val="000555FB"/>
    <w:rsid w:val="00087D64"/>
    <w:rsid w:val="000C7D32"/>
    <w:rsid w:val="000E3EFA"/>
    <w:rsid w:val="00131754"/>
    <w:rsid w:val="00171330"/>
    <w:rsid w:val="001867BE"/>
    <w:rsid w:val="001E0F91"/>
    <w:rsid w:val="001F1410"/>
    <w:rsid w:val="00240078"/>
    <w:rsid w:val="00264FC2"/>
    <w:rsid w:val="00292D00"/>
    <w:rsid w:val="002D27A6"/>
    <w:rsid w:val="002E215C"/>
    <w:rsid w:val="0036634D"/>
    <w:rsid w:val="00376AE2"/>
    <w:rsid w:val="00383A38"/>
    <w:rsid w:val="00432729"/>
    <w:rsid w:val="00440603"/>
    <w:rsid w:val="00485CD7"/>
    <w:rsid w:val="004A624B"/>
    <w:rsid w:val="00551A7F"/>
    <w:rsid w:val="00551EBA"/>
    <w:rsid w:val="00581303"/>
    <w:rsid w:val="005A68EA"/>
    <w:rsid w:val="005D350C"/>
    <w:rsid w:val="005D4025"/>
    <w:rsid w:val="005F438F"/>
    <w:rsid w:val="006201C9"/>
    <w:rsid w:val="00622C9E"/>
    <w:rsid w:val="00624746"/>
    <w:rsid w:val="006410A8"/>
    <w:rsid w:val="006E43CA"/>
    <w:rsid w:val="006F1C97"/>
    <w:rsid w:val="00724EC7"/>
    <w:rsid w:val="007363F3"/>
    <w:rsid w:val="00777F70"/>
    <w:rsid w:val="007868A2"/>
    <w:rsid w:val="007E0650"/>
    <w:rsid w:val="00821700"/>
    <w:rsid w:val="00850F04"/>
    <w:rsid w:val="008867AD"/>
    <w:rsid w:val="008A3B54"/>
    <w:rsid w:val="008C7F98"/>
    <w:rsid w:val="008E56AA"/>
    <w:rsid w:val="009B5AA6"/>
    <w:rsid w:val="009C284D"/>
    <w:rsid w:val="009C7ECC"/>
    <w:rsid w:val="00A07C1E"/>
    <w:rsid w:val="00A70C7B"/>
    <w:rsid w:val="00A932E7"/>
    <w:rsid w:val="00AA76BB"/>
    <w:rsid w:val="00AC532F"/>
    <w:rsid w:val="00AC556D"/>
    <w:rsid w:val="00B24286"/>
    <w:rsid w:val="00B42AF0"/>
    <w:rsid w:val="00C16133"/>
    <w:rsid w:val="00C72A03"/>
    <w:rsid w:val="00CA0055"/>
    <w:rsid w:val="00CA2CA7"/>
    <w:rsid w:val="00CC0FAB"/>
    <w:rsid w:val="00D50BCD"/>
    <w:rsid w:val="00DA021D"/>
    <w:rsid w:val="00DB3383"/>
    <w:rsid w:val="00E62422"/>
    <w:rsid w:val="00E81A59"/>
    <w:rsid w:val="00EC1976"/>
    <w:rsid w:val="00EF021E"/>
    <w:rsid w:val="00F24EED"/>
    <w:rsid w:val="00F2789D"/>
    <w:rsid w:val="00F46DA5"/>
    <w:rsid w:val="00F84777"/>
    <w:rsid w:val="00F95E0C"/>
    <w:rsid w:val="00FF3F97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60F0D"/>
  <w14:defaultImageDpi w14:val="300"/>
  <w15:chartTrackingRefBased/>
  <w15:docId w15:val="{ADDDD77B-2643-D645-9FF4-0170EC8D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CA00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Abi">
    <w:name w:val="Liste Abi"/>
    <w:uiPriority w:val="99"/>
    <w:rsid w:val="007E0650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FA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FA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8477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F8477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2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2AF0"/>
    <w:pPr>
      <w:ind w:left="720"/>
      <w:contextualSpacing/>
    </w:pPr>
  </w:style>
  <w:style w:type="character" w:styleId="Zeilennummer">
    <w:name w:val="line number"/>
    <w:basedOn w:val="Absatz-Standardschriftart"/>
    <w:uiPriority w:val="99"/>
    <w:unhideWhenUsed/>
    <w:rsid w:val="004A624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Holzgraebe</dc:creator>
  <cp:keywords/>
  <dc:description/>
  <cp:lastModifiedBy>Kerstin Holzgraebe</cp:lastModifiedBy>
  <cp:revision>2</cp:revision>
  <dcterms:created xsi:type="dcterms:W3CDTF">2020-04-16T09:38:00Z</dcterms:created>
  <dcterms:modified xsi:type="dcterms:W3CDTF">2020-04-16T09:38:00Z</dcterms:modified>
</cp:coreProperties>
</file>