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9EF7" w14:textId="77777777" w:rsidR="003E6665" w:rsidRPr="00984CCD" w:rsidRDefault="003E6665" w:rsidP="003E6665">
      <w:pPr>
        <w:shd w:val="clear" w:color="auto" w:fill="D9D9D9" w:themeFill="background1" w:themeFillShade="D9"/>
        <w:jc w:val="center"/>
        <w:rPr>
          <w:rFonts w:ascii="Bernard MT Condensed" w:hAnsi="Bernard MT Condensed"/>
          <w:color w:val="7F7F7F" w:themeColor="text1" w:themeTint="80"/>
          <w:sz w:val="36"/>
        </w:rPr>
      </w:pPr>
      <w:r w:rsidRPr="00984CCD">
        <w:rPr>
          <w:rFonts w:ascii="Bernard MT Condensed" w:hAnsi="Bernard MT Condensed"/>
          <w:color w:val="7F7F7F" w:themeColor="text1" w:themeTint="80"/>
          <w:sz w:val="36"/>
        </w:rPr>
        <w:t>Voraussetzungen und Triebkräfte der Dekolonis</w:t>
      </w:r>
      <w:r w:rsidR="00922AD0">
        <w:rPr>
          <w:rFonts w:ascii="Bernard MT Condensed" w:hAnsi="Bernard MT Condensed"/>
          <w:color w:val="7F7F7F" w:themeColor="text1" w:themeTint="80"/>
          <w:sz w:val="36"/>
        </w:rPr>
        <w:t>ierung</w:t>
      </w:r>
    </w:p>
    <w:p w14:paraId="38C13808" w14:textId="77777777" w:rsidR="003E6665" w:rsidRDefault="003E6665" w:rsidP="003E6665">
      <w:pPr>
        <w:ind w:left="252" w:hanging="252"/>
        <w:jc w:val="both"/>
        <w:rPr>
          <w:rFonts w:ascii="Arial Narrow" w:hAnsi="Arial Narrow"/>
          <w:b/>
          <w:sz w:val="16"/>
          <w:szCs w:val="22"/>
        </w:rPr>
      </w:pPr>
    </w:p>
    <w:p w14:paraId="678F5DA0" w14:textId="77777777" w:rsidR="003E6665" w:rsidRPr="005441F1" w:rsidRDefault="003E6665" w:rsidP="003E6665">
      <w:pPr>
        <w:ind w:left="252" w:hanging="252"/>
        <w:jc w:val="both"/>
        <w:rPr>
          <w:rFonts w:ascii="Arial Narrow" w:hAnsi="Arial Narrow"/>
          <w:b/>
          <w:sz w:val="16"/>
          <w:szCs w:val="22"/>
        </w:rPr>
      </w:pPr>
    </w:p>
    <w:p w14:paraId="0207B159" w14:textId="77777777" w:rsidR="003E6665" w:rsidRDefault="003E6665" w:rsidP="003E6665">
      <w:pPr>
        <w:jc w:val="center"/>
        <w:rPr>
          <w:rFonts w:ascii="Arial Narrow" w:hAnsi="Arial Narrow"/>
          <w:b/>
          <w:sz w:val="32"/>
        </w:rPr>
      </w:pPr>
      <w:r w:rsidRPr="009C2211">
        <w:rPr>
          <w:rFonts w:ascii="Arial Narrow" w:hAnsi="Arial Narrow"/>
          <w:b/>
          <w:sz w:val="32"/>
        </w:rPr>
        <w:t>Darstellung</w:t>
      </w:r>
      <w:r>
        <w:rPr>
          <w:rFonts w:ascii="Arial Narrow" w:hAnsi="Arial Narrow"/>
          <w:b/>
          <w:sz w:val="32"/>
        </w:rPr>
        <w:t>stext</w:t>
      </w:r>
    </w:p>
    <w:p w14:paraId="7C2B5E39" w14:textId="77777777" w:rsidR="003E6665" w:rsidRDefault="003E6665" w:rsidP="003E6665">
      <w:pPr>
        <w:jc w:val="center"/>
        <w:rPr>
          <w:rFonts w:ascii="Arial Narrow" w:hAnsi="Arial Narrow"/>
          <w:sz w:val="16"/>
        </w:rPr>
      </w:pPr>
    </w:p>
    <w:p w14:paraId="26CAA812" w14:textId="77777777" w:rsidR="003E6665" w:rsidRDefault="003E6665" w:rsidP="003E6665">
      <w:pPr>
        <w:jc w:val="center"/>
        <w:rPr>
          <w:rFonts w:ascii="Arial Narrow" w:hAnsi="Arial Narrow"/>
          <w:sz w:val="16"/>
        </w:rPr>
        <w:sectPr w:rsidR="003E6665" w:rsidSect="003E6665">
          <w:pgSz w:w="11900" w:h="16840"/>
          <w:pgMar w:top="941" w:right="1417" w:bottom="1134" w:left="1417" w:header="708" w:footer="708" w:gutter="0"/>
          <w:cols w:space="708"/>
          <w:docGrid w:linePitch="360"/>
        </w:sectPr>
      </w:pPr>
    </w:p>
    <w:p w14:paraId="479E9294" w14:textId="77777777" w:rsidR="003E6665" w:rsidRPr="003E6665" w:rsidRDefault="003E6665" w:rsidP="003E6665">
      <w:pPr>
        <w:jc w:val="both"/>
        <w:rPr>
          <w:rFonts w:ascii="Arial Narrow" w:hAnsi="Arial Narrow"/>
          <w:b/>
          <w:sz w:val="21"/>
          <w:szCs w:val="21"/>
        </w:rPr>
      </w:pPr>
      <w:r w:rsidRPr="009A1482">
        <w:rPr>
          <w:rFonts w:ascii="Arial Narrow" w:hAnsi="Arial Narrow"/>
          <w:b/>
          <w:sz w:val="21"/>
          <w:szCs w:val="21"/>
        </w:rPr>
        <w:t>Erster Weltkrieg</w:t>
      </w:r>
      <w:r>
        <w:rPr>
          <w:rFonts w:ascii="Arial Narrow" w:hAnsi="Arial Narrow"/>
          <w:b/>
          <w:sz w:val="21"/>
          <w:szCs w:val="21"/>
        </w:rPr>
        <w:t xml:space="preserve">. </w:t>
      </w:r>
      <w:r w:rsidRPr="009A1482">
        <w:rPr>
          <w:rFonts w:ascii="Arial Narrow" w:hAnsi="Arial Narrow"/>
          <w:sz w:val="21"/>
          <w:szCs w:val="21"/>
        </w:rPr>
        <w:t>Es sprechen wichtige Argumente dafür, die Geschichte der Dekolon</w:t>
      </w:r>
      <w:r w:rsidR="00922AD0">
        <w:rPr>
          <w:rFonts w:ascii="Arial Narrow" w:hAnsi="Arial Narrow"/>
          <w:sz w:val="21"/>
          <w:szCs w:val="21"/>
        </w:rPr>
        <w:t>isierung</w:t>
      </w:r>
      <w:r w:rsidRPr="009A1482">
        <w:rPr>
          <w:rFonts w:ascii="Arial Narrow" w:hAnsi="Arial Narrow"/>
          <w:sz w:val="21"/>
          <w:szCs w:val="21"/>
        </w:rPr>
        <w:t xml:space="preserve"> mit dem Ersten Weltkrieg beginnen zu lassen. Der Erste Weltkrieg war ein Krieg der Imperien. In bisher unbekanntem Maße griffen die Kolonialmächte, insbesondere Großbritannien und Frankreich, auf die </w:t>
      </w:r>
      <w:r>
        <w:rPr>
          <w:rFonts w:ascii="Arial Narrow" w:hAnsi="Arial Narrow"/>
          <w:sz w:val="21"/>
          <w:szCs w:val="21"/>
        </w:rPr>
        <w:t xml:space="preserve">militärischen und wirtschaftlichen </w:t>
      </w:r>
      <w:r w:rsidRPr="009A1482">
        <w:rPr>
          <w:rFonts w:ascii="Arial Narrow" w:hAnsi="Arial Narrow"/>
          <w:sz w:val="21"/>
          <w:szCs w:val="21"/>
        </w:rPr>
        <w:t>Ressourcen ihrer Imperien zurück. Genau das aber verstärkte den antikolonialen Widerstand</w:t>
      </w:r>
      <w:r>
        <w:rPr>
          <w:rFonts w:ascii="Arial Narrow" w:hAnsi="Arial Narrow"/>
          <w:sz w:val="21"/>
          <w:szCs w:val="21"/>
        </w:rPr>
        <w:t xml:space="preserve"> und den Nationalismus</w:t>
      </w:r>
      <w:r w:rsidRPr="009A1482">
        <w:rPr>
          <w:rFonts w:ascii="Arial Narrow" w:hAnsi="Arial Narrow"/>
          <w:sz w:val="21"/>
          <w:szCs w:val="21"/>
        </w:rPr>
        <w:t xml:space="preserve"> in den Kolonien selbst; </w:t>
      </w:r>
      <w:r>
        <w:rPr>
          <w:rFonts w:ascii="Arial Narrow" w:hAnsi="Arial Narrow"/>
          <w:sz w:val="21"/>
          <w:szCs w:val="21"/>
        </w:rPr>
        <w:t>u.a.</w:t>
      </w:r>
      <w:r w:rsidRPr="009A1482">
        <w:rPr>
          <w:rFonts w:ascii="Arial Narrow" w:hAnsi="Arial Narrow"/>
          <w:sz w:val="21"/>
          <w:szCs w:val="21"/>
        </w:rPr>
        <w:t xml:space="preserve"> gegen die Mobilmachung von Soldaten kam es beispielsweise im französischen Westafrika und in Algerien zu Aufständen. </w:t>
      </w:r>
      <w:r>
        <w:rPr>
          <w:rFonts w:ascii="Arial Narrow" w:hAnsi="Arial Narrow"/>
          <w:sz w:val="21"/>
          <w:szCs w:val="21"/>
        </w:rPr>
        <w:t>Durch solche Erhebungen gerieten die Kolonialmächte</w:t>
      </w:r>
      <w:r w:rsidRPr="009A1482">
        <w:rPr>
          <w:rFonts w:ascii="Arial Narrow" w:hAnsi="Arial Narrow"/>
          <w:sz w:val="21"/>
          <w:szCs w:val="21"/>
        </w:rPr>
        <w:t xml:space="preserve"> ab 1917/18 zunehmend </w:t>
      </w:r>
      <w:r>
        <w:rPr>
          <w:rFonts w:ascii="Arial Narrow" w:hAnsi="Arial Narrow"/>
          <w:sz w:val="21"/>
          <w:szCs w:val="21"/>
        </w:rPr>
        <w:t xml:space="preserve">unter </w:t>
      </w:r>
      <w:r w:rsidRPr="009A1482">
        <w:rPr>
          <w:rFonts w:ascii="Arial Narrow" w:hAnsi="Arial Narrow"/>
          <w:sz w:val="21"/>
          <w:szCs w:val="21"/>
        </w:rPr>
        <w:t>Druck.</w:t>
      </w:r>
    </w:p>
    <w:p w14:paraId="296A2204" w14:textId="77777777" w:rsidR="003E6665" w:rsidRDefault="003E6665" w:rsidP="003E6665">
      <w:pPr>
        <w:jc w:val="both"/>
        <w:rPr>
          <w:rFonts w:ascii="Arial Narrow" w:hAnsi="Arial Narrow"/>
          <w:sz w:val="21"/>
          <w:szCs w:val="21"/>
        </w:rPr>
      </w:pPr>
      <w:r w:rsidRPr="009A1482">
        <w:rPr>
          <w:rFonts w:ascii="Arial Narrow" w:hAnsi="Arial Narrow"/>
          <w:sz w:val="21"/>
          <w:szCs w:val="21"/>
        </w:rPr>
        <w:t xml:space="preserve">Parallel zu diesen antikolonialen Unruhen vollzog sich auf internationaler Ebene ein Bewusstseinswandel: Nach und nach setzte sich in der Weltöffentlichkeit die Überzeugung durch, dass demokratische, liberale oder nationale Grundsätze universelle Gültigkeit haben und somit für alle gelten müssten. </w:t>
      </w:r>
      <w:r>
        <w:rPr>
          <w:rFonts w:ascii="Arial Narrow" w:hAnsi="Arial Narrow"/>
          <w:sz w:val="21"/>
          <w:szCs w:val="21"/>
        </w:rPr>
        <w:t xml:space="preserve">So betonte beispielsweise US-Präsident Wilson in seinen Vierzehn Punkten 1918 das Selbstbestimmungsrecht der Völker. Von großem Einfluss war aber auch die Russische Revolution von 1917: Die siegreichen Bolschewiken erklärten sich mit den Befreiungsbewegungen solidarisch und riefen die unterdrückten Völker zum Befreiungskampf auf. </w:t>
      </w:r>
    </w:p>
    <w:p w14:paraId="67A7BCA8" w14:textId="77777777" w:rsidR="003E6665" w:rsidRPr="009A1482" w:rsidRDefault="003E6665" w:rsidP="003E6665">
      <w:pPr>
        <w:jc w:val="both"/>
        <w:rPr>
          <w:rFonts w:ascii="Arial Narrow" w:hAnsi="Arial Narrow"/>
          <w:sz w:val="21"/>
          <w:szCs w:val="21"/>
        </w:rPr>
      </w:pPr>
      <w:r>
        <w:rPr>
          <w:rFonts w:ascii="Arial Narrow" w:hAnsi="Arial Narrow"/>
          <w:sz w:val="21"/>
          <w:szCs w:val="21"/>
        </w:rPr>
        <w:t>Schließlich regte sich auch in den Metropolen selbst der antikoloniale Widerstand, oft entfacht und vorangetrieben durch die kommunistischen Parteien oder ihnen nahe stehende</w:t>
      </w:r>
      <w:r w:rsidR="00783CD3">
        <w:rPr>
          <w:rFonts w:ascii="Arial Narrow" w:hAnsi="Arial Narrow"/>
          <w:sz w:val="21"/>
          <w:szCs w:val="21"/>
        </w:rPr>
        <w:t>n</w:t>
      </w:r>
      <w:r>
        <w:rPr>
          <w:rFonts w:ascii="Arial Narrow" w:hAnsi="Arial Narrow"/>
          <w:sz w:val="21"/>
          <w:szCs w:val="21"/>
        </w:rPr>
        <w:t xml:space="preserve"> Initiativen und Akteure. </w:t>
      </w:r>
    </w:p>
    <w:p w14:paraId="28FD64A1" w14:textId="77777777" w:rsidR="003E6665" w:rsidRPr="003E6665" w:rsidRDefault="003E6665" w:rsidP="003E6665">
      <w:pPr>
        <w:snapToGrid w:val="0"/>
        <w:spacing w:before="120"/>
        <w:jc w:val="both"/>
        <w:rPr>
          <w:rFonts w:ascii="Arial Narrow" w:hAnsi="Arial Narrow"/>
          <w:b/>
          <w:sz w:val="21"/>
          <w:szCs w:val="21"/>
        </w:rPr>
      </w:pPr>
      <w:r w:rsidRPr="009A1482">
        <w:rPr>
          <w:rFonts w:ascii="Arial Narrow" w:hAnsi="Arial Narrow"/>
          <w:b/>
          <w:sz w:val="21"/>
          <w:szCs w:val="21"/>
        </w:rPr>
        <w:t>Zwischenkriegszeit</w:t>
      </w:r>
      <w:r>
        <w:rPr>
          <w:rFonts w:ascii="Arial Narrow" w:hAnsi="Arial Narrow"/>
          <w:b/>
          <w:sz w:val="21"/>
          <w:szCs w:val="21"/>
        </w:rPr>
        <w:t xml:space="preserve">. </w:t>
      </w:r>
      <w:r w:rsidRPr="009A1482">
        <w:rPr>
          <w:rFonts w:ascii="Arial Narrow" w:hAnsi="Arial Narrow"/>
          <w:sz w:val="21"/>
          <w:szCs w:val="21"/>
        </w:rPr>
        <w:t>Trotz der genannten Faktoren erlebte der Kolonialismus in den 1920er-Jahren eine „Hoch</w:t>
      </w:r>
      <w:r>
        <w:rPr>
          <w:rFonts w:ascii="Arial Narrow" w:hAnsi="Arial Narrow"/>
          <w:sz w:val="21"/>
          <w:szCs w:val="21"/>
        </w:rPr>
        <w:t>-Z</w:t>
      </w:r>
      <w:r w:rsidRPr="009A1482">
        <w:rPr>
          <w:rFonts w:ascii="Arial Narrow" w:hAnsi="Arial Narrow"/>
          <w:sz w:val="21"/>
          <w:szCs w:val="21"/>
        </w:rPr>
        <w:t>eit“</w:t>
      </w:r>
      <w:r>
        <w:rPr>
          <w:rFonts w:ascii="Arial Narrow" w:hAnsi="Arial Narrow"/>
          <w:sz w:val="21"/>
          <w:szCs w:val="21"/>
        </w:rPr>
        <w:t>. Zwar verschwanden im Zuge des Weltkriegs das Habsburgerreich, das Osmanische Reich und das Deutsche Reich als Imperien, doch die anderen Kolonialmächte gingen ohne Verluste aus dem Krieg hervor oder dehnten sich sogar noch aus. So erreichte</w:t>
      </w:r>
      <w:r w:rsidRPr="009A1482">
        <w:rPr>
          <w:rFonts w:ascii="Arial Narrow" w:hAnsi="Arial Narrow"/>
          <w:sz w:val="21"/>
          <w:szCs w:val="21"/>
        </w:rPr>
        <w:t xml:space="preserve"> </w:t>
      </w:r>
      <w:r>
        <w:rPr>
          <w:rFonts w:ascii="Arial Narrow" w:hAnsi="Arial Narrow"/>
          <w:sz w:val="21"/>
          <w:szCs w:val="21"/>
        </w:rPr>
        <w:t>d</w:t>
      </w:r>
      <w:r w:rsidRPr="009A1482">
        <w:rPr>
          <w:rFonts w:ascii="Arial Narrow" w:hAnsi="Arial Narrow"/>
          <w:sz w:val="21"/>
          <w:szCs w:val="21"/>
        </w:rPr>
        <w:t xml:space="preserve">ie koloniale Welt </w:t>
      </w:r>
      <w:r>
        <w:rPr>
          <w:rFonts w:ascii="Arial Narrow" w:hAnsi="Arial Narrow"/>
          <w:sz w:val="21"/>
          <w:szCs w:val="21"/>
        </w:rPr>
        <w:t>nach 1918</w:t>
      </w:r>
      <w:r w:rsidRPr="009A1482">
        <w:rPr>
          <w:rFonts w:ascii="Arial Narrow" w:hAnsi="Arial Narrow"/>
          <w:sz w:val="21"/>
          <w:szCs w:val="21"/>
        </w:rPr>
        <w:t xml:space="preserve"> ihre größte Ausdehnung. Und sowohl in </w:t>
      </w:r>
      <w:r>
        <w:rPr>
          <w:rFonts w:ascii="Arial Narrow" w:hAnsi="Arial Narrow"/>
          <w:sz w:val="21"/>
          <w:szCs w:val="21"/>
        </w:rPr>
        <w:t>ökonomischer</w:t>
      </w:r>
      <w:r w:rsidRPr="009A1482">
        <w:rPr>
          <w:rFonts w:ascii="Arial Narrow" w:hAnsi="Arial Narrow"/>
          <w:sz w:val="21"/>
          <w:szCs w:val="21"/>
        </w:rPr>
        <w:t xml:space="preserve"> Hinsicht (vor allem vor dem Hintergrund der Weltwirtschaftskrise 1929) als auch in wissenschaftlicher oder kultureller Hinsicht – die größten Kolonialausstellungen fanden in diesen Jahren statt – wurden die Kolonien in den 1920er-Jahren für ihre Metropolen wichtiger denn je. </w:t>
      </w:r>
    </w:p>
    <w:p w14:paraId="1C0A4809" w14:textId="77777777" w:rsidR="003E6665" w:rsidRPr="009A1482" w:rsidRDefault="003E6665" w:rsidP="003E6665">
      <w:pPr>
        <w:jc w:val="both"/>
        <w:rPr>
          <w:rFonts w:ascii="Arial Narrow" w:hAnsi="Arial Narrow"/>
          <w:sz w:val="21"/>
          <w:szCs w:val="21"/>
        </w:rPr>
      </w:pPr>
      <w:r w:rsidRPr="009A1482">
        <w:rPr>
          <w:rFonts w:ascii="Arial Narrow" w:hAnsi="Arial Narrow"/>
          <w:sz w:val="21"/>
          <w:szCs w:val="21"/>
        </w:rPr>
        <w:t xml:space="preserve">Auch die neue Weltordnung nach 1919 ließ das Machtgefälle zwischen den europäischen Staaten und den von ihnen beherrschten Gebieten unangetastet. So wurden beispielsweise die ehemaligen deutschen Kolonien, die das Deutsche Reich im Zuge des Versailler Vertrags aufgeben musste, nicht etwa unabhängig, sondern wurden unter die Mandatsherrschaft des 1919 gegründeten Völkerbunds gestellt. Insbesondere Großbritannien und Frankreich übten diese Mandate im Auftrag des Völkerbunds aus. Das offizielle Ziel war die Hinführung zur </w:t>
      </w:r>
      <w:r>
        <w:rPr>
          <w:rFonts w:ascii="Arial Narrow" w:hAnsi="Arial Narrow"/>
          <w:sz w:val="21"/>
          <w:szCs w:val="21"/>
        </w:rPr>
        <w:t>Unabhängigkeit, für die man die Mandatsgebiete als noch nicht reif genug erachtete</w:t>
      </w:r>
      <w:r w:rsidRPr="009A1482">
        <w:rPr>
          <w:rFonts w:ascii="Arial Narrow" w:hAnsi="Arial Narrow"/>
          <w:sz w:val="21"/>
          <w:szCs w:val="21"/>
        </w:rPr>
        <w:t>.</w:t>
      </w:r>
      <w:r>
        <w:rPr>
          <w:rFonts w:ascii="Arial Narrow" w:hAnsi="Arial Narrow"/>
          <w:sz w:val="21"/>
          <w:szCs w:val="21"/>
        </w:rPr>
        <w:t xml:space="preserve"> Dementsprechend sollten die Mandatsträger eine „Zivilisierungsmission“ ausüben und waren dem Völkerbund gegenüber zur jährlichen Berichterstattung verpflichtet.</w:t>
      </w:r>
      <w:r w:rsidRPr="009A1482">
        <w:rPr>
          <w:rFonts w:ascii="Arial Narrow" w:hAnsi="Arial Narrow"/>
          <w:sz w:val="21"/>
          <w:szCs w:val="21"/>
        </w:rPr>
        <w:t xml:space="preserve"> De facto aber agierten die Mandatsträger weitgehend unbehelligt in ihren Gebieten. </w:t>
      </w:r>
      <w:r>
        <w:rPr>
          <w:rFonts w:ascii="Arial Narrow" w:hAnsi="Arial Narrow"/>
          <w:sz w:val="21"/>
          <w:szCs w:val="21"/>
        </w:rPr>
        <w:t>Das von Präsident Wilson formulierte Selbstbestimmungsrecht der Völker fand somit in der Realität keinen adäquaten Niederschlag.</w:t>
      </w:r>
    </w:p>
    <w:p w14:paraId="517A490D" w14:textId="77777777" w:rsidR="003E6665" w:rsidRPr="003E6665" w:rsidRDefault="003E6665" w:rsidP="003E6665">
      <w:pPr>
        <w:spacing w:before="120"/>
        <w:jc w:val="both"/>
        <w:rPr>
          <w:rFonts w:ascii="Arial Narrow" w:hAnsi="Arial Narrow"/>
          <w:b/>
          <w:sz w:val="21"/>
          <w:szCs w:val="21"/>
        </w:rPr>
      </w:pPr>
      <w:r w:rsidRPr="009A1482">
        <w:rPr>
          <w:rFonts w:ascii="Arial Narrow" w:hAnsi="Arial Narrow"/>
          <w:b/>
          <w:sz w:val="21"/>
          <w:szCs w:val="21"/>
        </w:rPr>
        <w:t>Zweiter Weltkrieg</w:t>
      </w:r>
      <w:r>
        <w:rPr>
          <w:rFonts w:ascii="Arial Narrow" w:hAnsi="Arial Narrow"/>
          <w:b/>
          <w:sz w:val="21"/>
          <w:szCs w:val="21"/>
        </w:rPr>
        <w:t xml:space="preserve">. </w:t>
      </w:r>
      <w:r w:rsidRPr="009A1482">
        <w:rPr>
          <w:rFonts w:ascii="Arial Narrow" w:hAnsi="Arial Narrow"/>
          <w:sz w:val="21"/>
          <w:szCs w:val="21"/>
        </w:rPr>
        <w:t xml:space="preserve">Zum Wendepunkt in mehrfacher Hinsicht wurde dann der Zweite Weltkrieg. </w:t>
      </w:r>
      <w:r>
        <w:rPr>
          <w:rFonts w:ascii="Arial Narrow" w:hAnsi="Arial Narrow"/>
          <w:sz w:val="21"/>
          <w:szCs w:val="21"/>
        </w:rPr>
        <w:t>Dieser</w:t>
      </w:r>
      <w:r w:rsidRPr="009A1482">
        <w:rPr>
          <w:rFonts w:ascii="Arial Narrow" w:hAnsi="Arial Narrow"/>
          <w:sz w:val="21"/>
          <w:szCs w:val="21"/>
        </w:rPr>
        <w:t xml:space="preserve"> stärkte erneut die antikolonialen</w:t>
      </w:r>
      <w:r>
        <w:rPr>
          <w:rFonts w:ascii="Arial Narrow" w:hAnsi="Arial Narrow"/>
          <w:sz w:val="21"/>
          <w:szCs w:val="21"/>
        </w:rPr>
        <w:t xml:space="preserve"> und nationalistischen</w:t>
      </w:r>
      <w:r w:rsidRPr="009A1482">
        <w:rPr>
          <w:rFonts w:ascii="Arial Narrow" w:hAnsi="Arial Narrow"/>
          <w:sz w:val="21"/>
          <w:szCs w:val="21"/>
        </w:rPr>
        <w:t xml:space="preserve"> </w:t>
      </w:r>
      <w:r>
        <w:rPr>
          <w:rFonts w:ascii="Arial Narrow" w:hAnsi="Arial Narrow"/>
          <w:sz w:val="21"/>
          <w:szCs w:val="21"/>
        </w:rPr>
        <w:t>Kräfte in den Kolonien:</w:t>
      </w:r>
      <w:r w:rsidRPr="009A1482">
        <w:rPr>
          <w:rFonts w:ascii="Arial Narrow" w:hAnsi="Arial Narrow"/>
          <w:sz w:val="21"/>
          <w:szCs w:val="21"/>
        </w:rPr>
        <w:t xml:space="preserve"> </w:t>
      </w:r>
      <w:r>
        <w:rPr>
          <w:rFonts w:ascii="Arial Narrow" w:hAnsi="Arial Narrow"/>
          <w:sz w:val="21"/>
          <w:szCs w:val="21"/>
        </w:rPr>
        <w:t>etwa</w:t>
      </w:r>
      <w:r w:rsidRPr="009A1482">
        <w:rPr>
          <w:rFonts w:ascii="Arial Narrow" w:hAnsi="Arial Narrow"/>
          <w:sz w:val="21"/>
          <w:szCs w:val="21"/>
        </w:rPr>
        <w:t xml:space="preserve"> weil die Kolonialmächte wieder umfangreich auf ihre imperialen Ressourcen zurückgriffen</w:t>
      </w:r>
      <w:r>
        <w:rPr>
          <w:rFonts w:ascii="Arial Narrow" w:hAnsi="Arial Narrow"/>
          <w:sz w:val="21"/>
          <w:szCs w:val="21"/>
        </w:rPr>
        <w:t xml:space="preserve"> und tausende Soldaten aus den Kolonien in den Kampf schickten;</w:t>
      </w:r>
      <w:r w:rsidRPr="009A1482">
        <w:rPr>
          <w:rFonts w:ascii="Arial Narrow" w:hAnsi="Arial Narrow"/>
          <w:sz w:val="21"/>
          <w:szCs w:val="21"/>
        </w:rPr>
        <w:t xml:space="preserve"> oder weil sie</w:t>
      </w:r>
      <w:r>
        <w:rPr>
          <w:rFonts w:ascii="Arial Narrow" w:hAnsi="Arial Narrow"/>
          <w:sz w:val="21"/>
          <w:szCs w:val="21"/>
        </w:rPr>
        <w:t>,</w:t>
      </w:r>
      <w:r w:rsidRPr="009A1482">
        <w:rPr>
          <w:rFonts w:ascii="Arial Narrow" w:hAnsi="Arial Narrow"/>
          <w:sz w:val="21"/>
          <w:szCs w:val="21"/>
        </w:rPr>
        <w:t xml:space="preserve"> wie im Fall Frankreichs</w:t>
      </w:r>
      <w:r>
        <w:rPr>
          <w:rFonts w:ascii="Arial Narrow" w:hAnsi="Arial Narrow"/>
          <w:sz w:val="21"/>
          <w:szCs w:val="21"/>
        </w:rPr>
        <w:t>,</w:t>
      </w:r>
      <w:r w:rsidRPr="009A1482">
        <w:rPr>
          <w:rFonts w:ascii="Arial Narrow" w:hAnsi="Arial Narrow"/>
          <w:sz w:val="21"/>
          <w:szCs w:val="21"/>
        </w:rPr>
        <w:t xml:space="preserve"> im europäischen Krieg unterlagen</w:t>
      </w:r>
      <w:r>
        <w:rPr>
          <w:rFonts w:ascii="Arial Narrow" w:hAnsi="Arial Narrow"/>
          <w:sz w:val="21"/>
          <w:szCs w:val="21"/>
        </w:rPr>
        <w:t xml:space="preserve"> und einen Prestigeverlust erlitten; oder weil – ganz allgemein – die Kriegserfahrungen der Soldaten aus den Kolonien die Autorität der europäischen Kolonialherren mit ihrer vorgeblichen „Zivilisierungsmission“ untergruben.</w:t>
      </w:r>
    </w:p>
    <w:p w14:paraId="5B515203" w14:textId="77777777" w:rsidR="003E6665" w:rsidRPr="009A1482" w:rsidRDefault="003E6665" w:rsidP="003E6665">
      <w:pPr>
        <w:jc w:val="both"/>
        <w:rPr>
          <w:rFonts w:ascii="Arial Narrow" w:hAnsi="Arial Narrow"/>
          <w:sz w:val="21"/>
          <w:szCs w:val="21"/>
        </w:rPr>
      </w:pPr>
      <w:r w:rsidRPr="009A1482">
        <w:rPr>
          <w:rFonts w:ascii="Arial Narrow" w:hAnsi="Arial Narrow"/>
          <w:sz w:val="21"/>
          <w:szCs w:val="21"/>
        </w:rPr>
        <w:t>Die Proteste veranlassten die Kolonialmächte zu Zugeständnissen oder führten – wie im Fall Syriens und des Libanons – direkt in die Unabhängigkeit. Anteil daran hatte auch die antikoloniale Position des US-Präsidenten Roosevelt, der entschieden für das Selbstbestimmungsrecht der Völker eintrat. So beschlossen Roosevelt und der britische Premier Churchill 1941 die Atlantik-Charta, in der Roosevelts Prinzipien für die Nachkriegszeit festgehalten waren und die wichtiger Bestandteil der Charta der 1945 gegründeten UNO wurde.</w:t>
      </w:r>
    </w:p>
    <w:p w14:paraId="59C41235" w14:textId="77777777" w:rsidR="003E6665" w:rsidRPr="009A1482" w:rsidRDefault="003E6665" w:rsidP="003E6665">
      <w:pPr>
        <w:jc w:val="both"/>
        <w:rPr>
          <w:rFonts w:ascii="Arial Narrow" w:hAnsi="Arial Narrow"/>
          <w:sz w:val="21"/>
          <w:szCs w:val="21"/>
        </w:rPr>
      </w:pPr>
      <w:r w:rsidRPr="009A1482">
        <w:rPr>
          <w:rFonts w:ascii="Arial Narrow" w:hAnsi="Arial Narrow"/>
          <w:sz w:val="21"/>
          <w:szCs w:val="21"/>
        </w:rPr>
        <w:t xml:space="preserve">Nach 1945 begann schließlich die intensive Phase der eigentlichen Dekolonisation. </w:t>
      </w:r>
      <w:r>
        <w:rPr>
          <w:rFonts w:ascii="Arial Narrow" w:hAnsi="Arial Narrow"/>
          <w:sz w:val="21"/>
          <w:szCs w:val="21"/>
        </w:rPr>
        <w:t xml:space="preserve">In Folge des Zweiten Weltkriegs und im Zeichen des beginnenden Kalten Kriegs zwischen den Supermächten USA und UdSSR wurde die Dominanz der europäischen Mächte entscheidend geschwächt. Sie konnten nach 1945 ihre alten Positionen nicht wieder einnehmen, und so verschwanden in den </w:t>
      </w:r>
      <w:r w:rsidRPr="009A1482">
        <w:rPr>
          <w:rFonts w:ascii="Arial Narrow" w:hAnsi="Arial Narrow"/>
          <w:sz w:val="21"/>
          <w:szCs w:val="21"/>
        </w:rPr>
        <w:t xml:space="preserve">folgenden drei Jahrzehnten </w:t>
      </w:r>
      <w:r>
        <w:rPr>
          <w:rFonts w:ascii="Arial Narrow" w:hAnsi="Arial Narrow"/>
          <w:sz w:val="21"/>
          <w:szCs w:val="21"/>
        </w:rPr>
        <w:t xml:space="preserve">auch </w:t>
      </w:r>
      <w:r w:rsidRPr="009A1482">
        <w:rPr>
          <w:rFonts w:ascii="Arial Narrow" w:hAnsi="Arial Narrow"/>
          <w:sz w:val="21"/>
          <w:szCs w:val="21"/>
        </w:rPr>
        <w:t>die meisten Kolonien in Asien, Afrika und der Karibik.</w:t>
      </w:r>
    </w:p>
    <w:p w14:paraId="51FB6248" w14:textId="77777777" w:rsidR="003E6665" w:rsidRDefault="003E6665" w:rsidP="003E6665">
      <w:pPr>
        <w:jc w:val="both"/>
        <w:rPr>
          <w:rFonts w:ascii="Arial Narrow" w:hAnsi="Arial Narrow"/>
          <w:sz w:val="16"/>
          <w:szCs w:val="21"/>
        </w:rPr>
        <w:sectPr w:rsidR="003E6665" w:rsidSect="003E6665">
          <w:type w:val="continuous"/>
          <w:pgSz w:w="11900" w:h="16840"/>
          <w:pgMar w:top="956" w:right="1418" w:bottom="1134" w:left="1418" w:header="709" w:footer="709" w:gutter="0"/>
          <w:lnNumType w:countBy="5" w:restart="continuous"/>
          <w:cols w:space="708"/>
          <w:docGrid w:linePitch="360"/>
        </w:sectPr>
      </w:pPr>
    </w:p>
    <w:p w14:paraId="33F634A1" w14:textId="77777777" w:rsidR="003E6665" w:rsidRPr="005441F1" w:rsidRDefault="003E6665" w:rsidP="003E6665">
      <w:pPr>
        <w:jc w:val="both"/>
        <w:rPr>
          <w:rFonts w:ascii="Arial Narrow" w:hAnsi="Arial Narrow"/>
          <w:sz w:val="16"/>
          <w:szCs w:val="21"/>
        </w:rPr>
      </w:pPr>
    </w:p>
    <w:p w14:paraId="074DE17A" w14:textId="77777777" w:rsidR="003E6665" w:rsidRPr="004465E7" w:rsidRDefault="003E6665" w:rsidP="003E6665">
      <w:pPr>
        <w:jc w:val="both"/>
        <w:rPr>
          <w:rFonts w:ascii="Arial Narrow" w:hAnsi="Arial Narrow"/>
          <w:sz w:val="16"/>
          <w:szCs w:val="21"/>
        </w:rPr>
      </w:pPr>
      <w:r w:rsidRPr="004465E7">
        <w:rPr>
          <w:rFonts w:ascii="Arial Narrow" w:hAnsi="Arial Narrow"/>
          <w:sz w:val="16"/>
          <w:szCs w:val="21"/>
        </w:rPr>
        <w:t xml:space="preserve">(zusammengestellt aus: Jansen, J.C. / Osterhammel, J.: Dekolonisation. Das Ende der Imperien, München 2013, S. 28-52; </w:t>
      </w:r>
      <w:proofErr w:type="spellStart"/>
      <w:r w:rsidRPr="004465E7">
        <w:rPr>
          <w:rFonts w:ascii="Arial Narrow" w:hAnsi="Arial Narrow"/>
          <w:sz w:val="16"/>
          <w:szCs w:val="21"/>
        </w:rPr>
        <w:t>IpB</w:t>
      </w:r>
      <w:proofErr w:type="spellEnd"/>
      <w:r w:rsidRPr="004465E7">
        <w:rPr>
          <w:rFonts w:ascii="Arial Narrow" w:hAnsi="Arial Narrow"/>
          <w:sz w:val="16"/>
          <w:szCs w:val="21"/>
        </w:rPr>
        <w:t xml:space="preserve"> 338 Europa zwischen Kolonialismus und Dekolonisierung (3/2018), S. 26/30; Brückmann, A.: Von den Kolonien zur „Dritten Welt“. Wege und Probleme der Entkolonisierung, Stuttgart 1999, S. 6/18-20)</w:t>
      </w:r>
    </w:p>
    <w:p w14:paraId="111F1484" w14:textId="77777777" w:rsidR="001A6A53" w:rsidRDefault="001A6A53">
      <w:bookmarkStart w:id="0" w:name="_GoBack"/>
      <w:bookmarkEnd w:id="0"/>
    </w:p>
    <w:p w14:paraId="0A255BC3" w14:textId="77777777" w:rsidR="003E6665" w:rsidRDefault="003E6665" w:rsidP="003E6665">
      <w:pPr>
        <w:pStyle w:val="block"/>
        <w:shd w:val="clear" w:color="auto" w:fill="D9D9D9" w:themeFill="background1" w:themeFillShade="D9"/>
        <w:spacing w:before="0" w:beforeAutospacing="0" w:after="0" w:afterAutospacing="0"/>
        <w:ind w:left="266" w:hanging="266"/>
        <w:jc w:val="both"/>
        <w:rPr>
          <w:rFonts w:ascii="Arial Narrow" w:hAnsi="Arial Narrow"/>
          <w:i/>
          <w:sz w:val="23"/>
          <w:szCs w:val="23"/>
        </w:rPr>
      </w:pPr>
      <w:r w:rsidRPr="00AF78F3">
        <w:rPr>
          <w:rFonts w:ascii="Arial Narrow" w:hAnsi="Arial Narrow"/>
          <w:sz w:val="23"/>
          <w:szCs w:val="23"/>
        </w:rPr>
        <w:sym w:font="Wingdings 2" w:char="F0BF"/>
      </w:r>
      <w:r w:rsidRPr="00AF78F3">
        <w:rPr>
          <w:rFonts w:ascii="Arial Narrow" w:hAnsi="Arial Narrow"/>
          <w:i/>
          <w:sz w:val="23"/>
          <w:szCs w:val="23"/>
        </w:rPr>
        <w:t xml:space="preserve"> </w:t>
      </w:r>
      <w:r>
        <w:rPr>
          <w:rFonts w:ascii="Arial Narrow" w:hAnsi="Arial Narrow"/>
          <w:i/>
          <w:sz w:val="23"/>
          <w:szCs w:val="23"/>
        </w:rPr>
        <w:t>Erstellt ein Schaubild zu den Voraussetzungen und Triebkräften der Dekolonis</w:t>
      </w:r>
      <w:r w:rsidR="008152D7">
        <w:rPr>
          <w:rFonts w:ascii="Arial Narrow" w:hAnsi="Arial Narrow"/>
          <w:i/>
          <w:sz w:val="23"/>
          <w:szCs w:val="23"/>
        </w:rPr>
        <w:t>ierung</w:t>
      </w:r>
      <w:r>
        <w:rPr>
          <w:rFonts w:ascii="Arial Narrow" w:hAnsi="Arial Narrow"/>
          <w:i/>
          <w:sz w:val="23"/>
          <w:szCs w:val="23"/>
        </w:rPr>
        <w:t>. Tipp: Unter</w:t>
      </w:r>
      <w:r w:rsidR="008152D7">
        <w:rPr>
          <w:rFonts w:ascii="Arial Narrow" w:hAnsi="Arial Narrow"/>
          <w:i/>
          <w:sz w:val="23"/>
          <w:szCs w:val="23"/>
        </w:rPr>
        <w:t>-</w:t>
      </w:r>
      <w:r>
        <w:rPr>
          <w:rFonts w:ascii="Arial Narrow" w:hAnsi="Arial Narrow"/>
          <w:i/>
          <w:sz w:val="23"/>
          <w:szCs w:val="23"/>
        </w:rPr>
        <w:t>scheidet verschiedene Ebenen bzw. Erklärungsansätze (Z.1-14) und achtet auf deren Zusammenwirken.</w:t>
      </w:r>
    </w:p>
    <w:p w14:paraId="563DF2C6" w14:textId="77777777" w:rsidR="003E6665" w:rsidRPr="003E6665" w:rsidRDefault="003E6665" w:rsidP="003E6665">
      <w:pPr>
        <w:pStyle w:val="block"/>
        <w:shd w:val="clear" w:color="auto" w:fill="D9D9D9" w:themeFill="background1" w:themeFillShade="D9"/>
        <w:spacing w:before="0" w:beforeAutospacing="0" w:after="0" w:afterAutospacing="0"/>
        <w:ind w:left="266" w:hanging="266"/>
        <w:jc w:val="both"/>
        <w:rPr>
          <w:rFonts w:ascii="Arial Narrow" w:hAnsi="Arial Narrow"/>
          <w:sz w:val="21"/>
          <w:szCs w:val="23"/>
        </w:rPr>
      </w:pPr>
      <w:r w:rsidRPr="00AF78F3">
        <w:rPr>
          <w:rFonts w:ascii="Arial Narrow" w:hAnsi="Arial Narrow"/>
          <w:sz w:val="23"/>
          <w:szCs w:val="23"/>
        </w:rPr>
        <w:sym w:font="Wingdings 2" w:char="F0BF"/>
      </w:r>
      <w:r>
        <w:rPr>
          <w:rFonts w:ascii="Arial Narrow" w:hAnsi="Arial Narrow"/>
          <w:sz w:val="23"/>
          <w:szCs w:val="23"/>
        </w:rPr>
        <w:t xml:space="preserve"> </w:t>
      </w:r>
      <w:r w:rsidRPr="00140927">
        <w:rPr>
          <w:rFonts w:ascii="Arial Narrow" w:hAnsi="Arial Narrow"/>
          <w:i/>
          <w:sz w:val="23"/>
          <w:szCs w:val="23"/>
        </w:rPr>
        <w:t xml:space="preserve">** Überlegt: Lassen sich die einzelnen Ebenen bzw. Erklärungsansätze </w:t>
      </w:r>
      <w:r>
        <w:rPr>
          <w:rFonts w:ascii="Arial Narrow" w:hAnsi="Arial Narrow"/>
          <w:i/>
          <w:sz w:val="23"/>
          <w:szCs w:val="23"/>
        </w:rPr>
        <w:t xml:space="preserve">in ihrer Bedeutung </w:t>
      </w:r>
      <w:r w:rsidRPr="00140927">
        <w:rPr>
          <w:rFonts w:ascii="Arial Narrow" w:hAnsi="Arial Narrow"/>
          <w:i/>
          <w:sz w:val="23"/>
          <w:szCs w:val="23"/>
        </w:rPr>
        <w:t>gewichten?</w:t>
      </w:r>
    </w:p>
    <w:sectPr w:rsidR="003E6665" w:rsidRPr="003E6665" w:rsidSect="003E6665">
      <w:type w:val="continuous"/>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65"/>
    <w:rsid w:val="000E2F49"/>
    <w:rsid w:val="00142A9E"/>
    <w:rsid w:val="001A6A53"/>
    <w:rsid w:val="001F6F59"/>
    <w:rsid w:val="003E6665"/>
    <w:rsid w:val="0042219D"/>
    <w:rsid w:val="00783CD3"/>
    <w:rsid w:val="008152D7"/>
    <w:rsid w:val="00922AD0"/>
    <w:rsid w:val="00BB3E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D84F0"/>
  <w14:defaultImageDpi w14:val="32767"/>
  <w15:docId w15:val="{D976FCAA-86D5-C243-988C-3EA7EE3E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666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3E6665"/>
  </w:style>
  <w:style w:type="paragraph" w:customStyle="1" w:styleId="block">
    <w:name w:val="block"/>
    <w:basedOn w:val="Standard"/>
    <w:rsid w:val="003E66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4740</Characters>
  <Application>Microsoft Office Word</Application>
  <DocSecurity>0</DocSecurity>
  <Lines>39</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Koch</dc:creator>
  <cp:keywords/>
  <dc:description/>
  <cp:lastModifiedBy>Armin Koch</cp:lastModifiedBy>
  <cp:revision>6</cp:revision>
  <dcterms:created xsi:type="dcterms:W3CDTF">2019-05-14T07:01:00Z</dcterms:created>
  <dcterms:modified xsi:type="dcterms:W3CDTF">2020-03-18T17:34:00Z</dcterms:modified>
</cp:coreProperties>
</file>