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BE" w:rsidRPr="00984CCD" w:rsidRDefault="00FD22CB" w:rsidP="00AF78F3">
      <w:pPr>
        <w:shd w:val="clear" w:color="auto" w:fill="D9D9D9" w:themeFill="background1" w:themeFillShade="D9"/>
        <w:jc w:val="center"/>
        <w:rPr>
          <w:rFonts w:ascii="Bernard MT Condensed" w:hAnsi="Bernard MT Condensed"/>
          <w:color w:val="7F7F7F" w:themeColor="text1" w:themeTint="80"/>
          <w:sz w:val="36"/>
        </w:rPr>
      </w:pPr>
      <w:r w:rsidRPr="00984CCD">
        <w:rPr>
          <w:rFonts w:ascii="Bernard MT Condensed" w:hAnsi="Bernard MT Condensed"/>
          <w:color w:val="7F7F7F" w:themeColor="text1" w:themeTint="80"/>
          <w:sz w:val="36"/>
        </w:rPr>
        <w:t xml:space="preserve">Voraussetzungen </w:t>
      </w:r>
      <w:r w:rsidR="00984CCD" w:rsidRPr="00984CCD">
        <w:rPr>
          <w:rFonts w:ascii="Bernard MT Condensed" w:hAnsi="Bernard MT Condensed"/>
          <w:color w:val="7F7F7F" w:themeColor="text1" w:themeTint="80"/>
          <w:sz w:val="36"/>
        </w:rPr>
        <w:t xml:space="preserve">und Triebkräfte </w:t>
      </w:r>
      <w:r w:rsidRPr="00984CCD">
        <w:rPr>
          <w:rFonts w:ascii="Bernard MT Condensed" w:hAnsi="Bernard MT Condensed"/>
          <w:color w:val="7F7F7F" w:themeColor="text1" w:themeTint="80"/>
          <w:sz w:val="36"/>
        </w:rPr>
        <w:t>der Dekolonis</w:t>
      </w:r>
      <w:r w:rsidR="007B34BC">
        <w:rPr>
          <w:rFonts w:ascii="Bernard MT Condensed" w:hAnsi="Bernard MT Condensed"/>
          <w:color w:val="7F7F7F" w:themeColor="text1" w:themeTint="80"/>
          <w:sz w:val="36"/>
        </w:rPr>
        <w:t>ierung</w:t>
      </w:r>
    </w:p>
    <w:p w:rsidR="00736DE3" w:rsidRDefault="00736DE3" w:rsidP="00736DE3">
      <w:pPr>
        <w:ind w:left="252" w:hanging="252"/>
        <w:jc w:val="both"/>
        <w:rPr>
          <w:rFonts w:ascii="Arial Narrow" w:hAnsi="Arial Narrow"/>
          <w:b/>
          <w:sz w:val="16"/>
          <w:szCs w:val="22"/>
        </w:rPr>
      </w:pPr>
    </w:p>
    <w:p w:rsidR="00D90756" w:rsidRPr="009C2211" w:rsidRDefault="00D90756" w:rsidP="00736DE3">
      <w:pPr>
        <w:ind w:left="252" w:hanging="252"/>
        <w:jc w:val="both"/>
        <w:rPr>
          <w:rFonts w:ascii="Arial Narrow" w:hAnsi="Arial Narrow"/>
          <w:b/>
          <w:sz w:val="16"/>
          <w:szCs w:val="22"/>
        </w:rPr>
      </w:pPr>
    </w:p>
    <w:p w:rsidR="00B576CE" w:rsidRPr="00B576CE" w:rsidRDefault="00C30ECF" w:rsidP="00B576CE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Erklärungen und Erklärungsmodelle von Historikern</w:t>
      </w:r>
    </w:p>
    <w:p w:rsidR="00C30ECF" w:rsidRDefault="00C30ECF" w:rsidP="0093662C">
      <w:pPr>
        <w:rPr>
          <w:rFonts w:ascii="Arial Narrow" w:hAnsi="Arial Narrow"/>
          <w:sz w:val="21"/>
        </w:rPr>
      </w:pPr>
      <w:r>
        <w:rPr>
          <w:rFonts w:ascii="Arial Narrow" w:hAnsi="Arial Narrow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90805</wp:posOffset>
                </wp:positionV>
                <wp:extent cx="5892800" cy="2362200"/>
                <wp:effectExtent l="0" t="0" r="1270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1048F" id="Rechteck 1" o:spid="_x0000_s1026" style="position:absolute;margin-left:-3.35pt;margin-top:7.15pt;width:464pt;height:18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" fillcolor="#f2f2f2 [3052]" strokecolor="gray [1629]" strokeweight="1pt"/>
            </w:pict>
          </mc:Fallback>
        </mc:AlternateContent>
      </w:r>
    </w:p>
    <w:p w:rsidR="0093662C" w:rsidRPr="00095382" w:rsidRDefault="0093662C" w:rsidP="0093662C">
      <w:pPr>
        <w:jc w:val="both"/>
        <w:rPr>
          <w:rFonts w:ascii="Arial Narrow" w:hAnsi="Arial Narrow"/>
          <w:b/>
          <w:szCs w:val="21"/>
        </w:rPr>
      </w:pPr>
      <w:r w:rsidRPr="00095382">
        <w:rPr>
          <w:rFonts w:ascii="Arial Narrow" w:hAnsi="Arial Narrow"/>
          <w:b/>
          <w:szCs w:val="21"/>
        </w:rPr>
        <w:t>Wolfgang J. Mommsen (1990):</w:t>
      </w:r>
    </w:p>
    <w:p w:rsidR="0093662C" w:rsidRPr="00095382" w:rsidRDefault="0093662C" w:rsidP="0093662C">
      <w:pPr>
        <w:jc w:val="both"/>
        <w:rPr>
          <w:rFonts w:ascii="Arial Narrow" w:hAnsi="Arial Narrow"/>
          <w:szCs w:val="21"/>
        </w:rPr>
      </w:pPr>
    </w:p>
    <w:p w:rsidR="0093662C" w:rsidRPr="00095382" w:rsidRDefault="0093662C" w:rsidP="0093662C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Cs w:val="21"/>
        </w:rPr>
      </w:pPr>
      <w:r w:rsidRPr="00095382">
        <w:rPr>
          <w:rFonts w:ascii="Arial Narrow" w:hAnsi="Arial Narrow"/>
          <w:szCs w:val="21"/>
        </w:rPr>
        <w:t>Nationale Unabhängigkeitsbewegungen in den kolonialen Territorien</w:t>
      </w:r>
    </w:p>
    <w:p w:rsidR="0093662C" w:rsidRPr="00095382" w:rsidRDefault="0093662C" w:rsidP="0093662C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Cs w:val="21"/>
        </w:rPr>
      </w:pPr>
      <w:r w:rsidRPr="00095382">
        <w:rPr>
          <w:rFonts w:ascii="Arial Narrow" w:hAnsi="Arial Narrow"/>
          <w:szCs w:val="21"/>
        </w:rPr>
        <w:t>Bündel exogener [=äußerer] Faktoren seit 1945:</w:t>
      </w:r>
    </w:p>
    <w:p w:rsidR="0093662C" w:rsidRPr="00095382" w:rsidRDefault="00B57679" w:rsidP="0093662C">
      <w:pPr>
        <w:pStyle w:val="Listenabsatz"/>
        <w:numPr>
          <w:ilvl w:val="1"/>
          <w:numId w:val="4"/>
        </w:numPr>
        <w:jc w:val="both"/>
        <w:rPr>
          <w:rFonts w:ascii="Arial Narrow" w:hAnsi="Arial Narrow"/>
          <w:szCs w:val="21"/>
        </w:rPr>
      </w:pPr>
      <w:r w:rsidRPr="00095382">
        <w:rPr>
          <w:rFonts w:ascii="Arial Narrow" w:hAnsi="Arial Narrow"/>
          <w:szCs w:val="21"/>
        </w:rPr>
        <w:t>ö</w:t>
      </w:r>
      <w:r w:rsidR="0093662C" w:rsidRPr="00095382">
        <w:rPr>
          <w:rFonts w:ascii="Arial Narrow" w:hAnsi="Arial Narrow"/>
          <w:szCs w:val="21"/>
        </w:rPr>
        <w:t>ffentliche Meinung in den Metropolen: Kolonialherrschaft nur noch als ‚Treuhänderschaft‘ mit dem Ziel der baldigen Unabhängigkeit</w:t>
      </w:r>
    </w:p>
    <w:p w:rsidR="0093662C" w:rsidRPr="00095382" w:rsidRDefault="0093662C" w:rsidP="0093662C">
      <w:pPr>
        <w:pStyle w:val="Listenabsatz"/>
        <w:numPr>
          <w:ilvl w:val="1"/>
          <w:numId w:val="4"/>
        </w:numPr>
        <w:jc w:val="both"/>
        <w:rPr>
          <w:rFonts w:ascii="Arial Narrow" w:hAnsi="Arial Narrow"/>
          <w:szCs w:val="21"/>
        </w:rPr>
      </w:pPr>
      <w:r w:rsidRPr="00095382">
        <w:rPr>
          <w:rFonts w:ascii="Arial Narrow" w:hAnsi="Arial Narrow"/>
          <w:szCs w:val="21"/>
        </w:rPr>
        <w:t>ideologische Auseinandersetzung zwischen Marxismus-Leninismus und westlichen Demokratien seit Ende der 1940er-Jahre</w:t>
      </w:r>
    </w:p>
    <w:p w:rsidR="00075FF5" w:rsidRPr="00095382" w:rsidRDefault="00075FF5" w:rsidP="0093662C">
      <w:pPr>
        <w:ind w:left="708"/>
        <w:jc w:val="both"/>
        <w:rPr>
          <w:rFonts w:ascii="Arial Narrow" w:hAnsi="Arial Narrow"/>
          <w:szCs w:val="21"/>
        </w:rPr>
      </w:pPr>
    </w:p>
    <w:p w:rsidR="0093662C" w:rsidRPr="00095382" w:rsidRDefault="0093662C" w:rsidP="0093662C">
      <w:pPr>
        <w:ind w:left="708"/>
        <w:jc w:val="both"/>
        <w:rPr>
          <w:rFonts w:ascii="Arial Narrow" w:hAnsi="Arial Narrow"/>
          <w:szCs w:val="21"/>
        </w:rPr>
      </w:pPr>
      <w:r w:rsidRPr="00095382">
        <w:rPr>
          <w:rFonts w:ascii="Arial Narrow" w:hAnsi="Arial Narrow"/>
          <w:szCs w:val="21"/>
        </w:rPr>
        <w:sym w:font="Wingdings" w:char="F0E8"/>
      </w:r>
      <w:r w:rsidRPr="00095382">
        <w:rPr>
          <w:rFonts w:ascii="Arial Narrow" w:hAnsi="Arial Narrow"/>
          <w:szCs w:val="21"/>
        </w:rPr>
        <w:t xml:space="preserve"> Zusammenspiel dieser Faktoren erklärt den Beschleunigungsprozess der Dekolonisation seit dem Ende des 2. Weltkriegs</w:t>
      </w:r>
    </w:p>
    <w:p w:rsidR="0093662C" w:rsidRPr="00095382" w:rsidRDefault="0093662C" w:rsidP="0093662C">
      <w:pPr>
        <w:jc w:val="both"/>
        <w:rPr>
          <w:rFonts w:ascii="Arial Narrow" w:hAnsi="Arial Narrow"/>
          <w:sz w:val="20"/>
          <w:szCs w:val="21"/>
        </w:rPr>
      </w:pPr>
    </w:p>
    <w:p w:rsidR="0093662C" w:rsidRPr="00095382" w:rsidRDefault="0093662C" w:rsidP="0093662C">
      <w:pPr>
        <w:jc w:val="both"/>
        <w:rPr>
          <w:rFonts w:ascii="Arial Narrow" w:hAnsi="Arial Narrow"/>
          <w:sz w:val="20"/>
          <w:szCs w:val="21"/>
        </w:rPr>
      </w:pPr>
      <w:r w:rsidRPr="00095382">
        <w:rPr>
          <w:rFonts w:ascii="Arial Narrow" w:hAnsi="Arial Narrow"/>
          <w:sz w:val="20"/>
          <w:szCs w:val="21"/>
        </w:rPr>
        <w:t>(Mommsen, W. J. [</w:t>
      </w:r>
      <w:proofErr w:type="spellStart"/>
      <w:r w:rsidRPr="00095382">
        <w:rPr>
          <w:rFonts w:ascii="Arial Narrow" w:hAnsi="Arial Narrow"/>
          <w:sz w:val="20"/>
          <w:szCs w:val="21"/>
        </w:rPr>
        <w:t>Hg</w:t>
      </w:r>
      <w:proofErr w:type="spellEnd"/>
      <w:r w:rsidRPr="00095382">
        <w:rPr>
          <w:rFonts w:ascii="Arial Narrow" w:hAnsi="Arial Narrow"/>
          <w:sz w:val="20"/>
          <w:szCs w:val="21"/>
        </w:rPr>
        <w:t>.]: Das Ende der Kolonialreiche. Dekolonisation und die Politik der Großmächte, Frankfurt 1990, S. 13)</w:t>
      </w:r>
    </w:p>
    <w:p w:rsidR="0093662C" w:rsidRPr="00095382" w:rsidRDefault="0093662C" w:rsidP="00736DE3">
      <w:pPr>
        <w:jc w:val="center"/>
        <w:rPr>
          <w:rFonts w:ascii="Arial Narrow" w:hAnsi="Arial Narrow"/>
          <w:sz w:val="20"/>
        </w:rPr>
      </w:pPr>
    </w:p>
    <w:p w:rsidR="00B576CE" w:rsidRPr="00095382" w:rsidRDefault="00B576CE" w:rsidP="00736DE3">
      <w:pPr>
        <w:jc w:val="center"/>
        <w:rPr>
          <w:rFonts w:ascii="Arial Narrow" w:hAnsi="Arial Narrow"/>
          <w:sz w:val="20"/>
        </w:rPr>
      </w:pPr>
    </w:p>
    <w:p w:rsidR="0093662C" w:rsidRPr="00095382" w:rsidRDefault="00D90756" w:rsidP="00736DE3">
      <w:pPr>
        <w:jc w:val="center"/>
        <w:rPr>
          <w:rFonts w:ascii="Arial Narrow" w:hAnsi="Arial Narrow"/>
          <w:sz w:val="20"/>
        </w:rPr>
      </w:pPr>
      <w:r w:rsidRPr="00095382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79C3343" wp14:editId="6E677DAF">
                <wp:simplePos x="0" y="0"/>
                <wp:positionH relativeFrom="column">
                  <wp:posOffset>-42545</wp:posOffset>
                </wp:positionH>
                <wp:positionV relativeFrom="paragraph">
                  <wp:posOffset>86360</wp:posOffset>
                </wp:positionV>
                <wp:extent cx="5892800" cy="1676400"/>
                <wp:effectExtent l="0" t="0" r="1270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F4E3A" id="Rechteck 2" o:spid="_x0000_s1026" style="position:absolute;margin-left:-3.35pt;margin-top:6.8pt;width:464pt;height:132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" fillcolor="#f2f2f2 [3052]" strokecolor="gray [1629]" strokeweight="1pt"/>
            </w:pict>
          </mc:Fallback>
        </mc:AlternateContent>
      </w:r>
    </w:p>
    <w:p w:rsidR="0093662C" w:rsidRPr="00095382" w:rsidRDefault="0093662C" w:rsidP="0093662C">
      <w:pPr>
        <w:jc w:val="both"/>
        <w:rPr>
          <w:rFonts w:ascii="Arial Narrow" w:hAnsi="Arial Narrow"/>
          <w:b/>
          <w:szCs w:val="21"/>
        </w:rPr>
      </w:pPr>
      <w:r w:rsidRPr="00095382">
        <w:rPr>
          <w:rFonts w:ascii="Arial Narrow" w:hAnsi="Arial Narrow"/>
          <w:b/>
          <w:szCs w:val="21"/>
        </w:rPr>
        <w:t>John Springhall (2001) nennt drei verschiedene Erklärungsmodelle:</w:t>
      </w:r>
    </w:p>
    <w:p w:rsidR="0093662C" w:rsidRPr="00095382" w:rsidRDefault="0093662C" w:rsidP="0093662C">
      <w:pPr>
        <w:jc w:val="both"/>
        <w:rPr>
          <w:rFonts w:ascii="Arial Narrow" w:hAnsi="Arial Narrow"/>
          <w:szCs w:val="21"/>
        </w:rPr>
      </w:pPr>
    </w:p>
    <w:p w:rsidR="0093662C" w:rsidRPr="00095382" w:rsidRDefault="0093662C" w:rsidP="0093662C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Cs w:val="21"/>
        </w:rPr>
      </w:pPr>
      <w:r w:rsidRPr="00095382">
        <w:rPr>
          <w:rFonts w:ascii="Arial Narrow" w:hAnsi="Arial Narrow"/>
          <w:szCs w:val="21"/>
        </w:rPr>
        <w:t>nationalistische Erklärungen, die die Rolle der Unabhängigkeitsbewegungen betonen</w:t>
      </w:r>
    </w:p>
    <w:p w:rsidR="0093662C" w:rsidRPr="00095382" w:rsidRDefault="0093662C" w:rsidP="0093662C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Cs w:val="21"/>
        </w:rPr>
      </w:pPr>
      <w:r w:rsidRPr="00095382">
        <w:rPr>
          <w:rFonts w:ascii="Arial Narrow" w:hAnsi="Arial Narrow"/>
          <w:szCs w:val="21"/>
        </w:rPr>
        <w:t>internationale Erklärungen, die die Rolle der USA, der Sowjetunion und der UNO betonen</w:t>
      </w:r>
    </w:p>
    <w:p w:rsidR="0093662C" w:rsidRPr="00095382" w:rsidRDefault="0093662C" w:rsidP="0093662C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Cs w:val="21"/>
        </w:rPr>
      </w:pPr>
      <w:r w:rsidRPr="00095382">
        <w:rPr>
          <w:rFonts w:ascii="Arial Narrow" w:hAnsi="Arial Narrow"/>
          <w:szCs w:val="21"/>
        </w:rPr>
        <w:t>Erklärungen, die die wachsende Opposition gegen den Kolonialismus in den Metropolen betonen</w:t>
      </w:r>
    </w:p>
    <w:p w:rsidR="0093662C" w:rsidRPr="00095382" w:rsidRDefault="0093662C" w:rsidP="0093662C">
      <w:pPr>
        <w:jc w:val="both"/>
        <w:rPr>
          <w:rFonts w:ascii="Arial Narrow" w:hAnsi="Arial Narrow"/>
          <w:szCs w:val="21"/>
        </w:rPr>
      </w:pPr>
    </w:p>
    <w:p w:rsidR="0093662C" w:rsidRPr="00095382" w:rsidRDefault="0093662C" w:rsidP="0093662C">
      <w:pPr>
        <w:jc w:val="both"/>
        <w:rPr>
          <w:rFonts w:ascii="Arial Narrow" w:hAnsi="Arial Narrow"/>
          <w:sz w:val="20"/>
          <w:szCs w:val="21"/>
        </w:rPr>
      </w:pPr>
      <w:r w:rsidRPr="00095382">
        <w:rPr>
          <w:rFonts w:ascii="Arial Narrow" w:hAnsi="Arial Narrow"/>
          <w:sz w:val="20"/>
          <w:szCs w:val="21"/>
        </w:rPr>
        <w:t xml:space="preserve">(Springhall, J.: </w:t>
      </w:r>
      <w:proofErr w:type="spellStart"/>
      <w:r w:rsidRPr="00095382">
        <w:rPr>
          <w:rFonts w:ascii="Arial Narrow" w:hAnsi="Arial Narrow"/>
          <w:sz w:val="20"/>
          <w:szCs w:val="21"/>
        </w:rPr>
        <w:t>Decolonization</w:t>
      </w:r>
      <w:proofErr w:type="spellEnd"/>
      <w:r w:rsidRPr="00095382">
        <w:rPr>
          <w:rFonts w:ascii="Arial Narrow" w:hAnsi="Arial Narrow"/>
          <w:sz w:val="20"/>
          <w:szCs w:val="21"/>
        </w:rPr>
        <w:t xml:space="preserve"> </w:t>
      </w:r>
      <w:proofErr w:type="spellStart"/>
      <w:r w:rsidRPr="00095382">
        <w:rPr>
          <w:rFonts w:ascii="Arial Narrow" w:hAnsi="Arial Narrow"/>
          <w:sz w:val="20"/>
          <w:szCs w:val="21"/>
        </w:rPr>
        <w:t>since</w:t>
      </w:r>
      <w:proofErr w:type="spellEnd"/>
      <w:r w:rsidRPr="00095382">
        <w:rPr>
          <w:rFonts w:ascii="Arial Narrow" w:hAnsi="Arial Narrow"/>
          <w:sz w:val="20"/>
          <w:szCs w:val="21"/>
        </w:rPr>
        <w:t xml:space="preserve"> 1945, </w:t>
      </w:r>
      <w:proofErr w:type="spellStart"/>
      <w:r w:rsidRPr="00095382">
        <w:rPr>
          <w:rFonts w:ascii="Arial Narrow" w:hAnsi="Arial Narrow"/>
          <w:sz w:val="20"/>
          <w:szCs w:val="21"/>
        </w:rPr>
        <w:t>Basingstoke</w:t>
      </w:r>
      <w:proofErr w:type="spellEnd"/>
      <w:r w:rsidRPr="00095382">
        <w:rPr>
          <w:rFonts w:ascii="Arial Narrow" w:hAnsi="Arial Narrow"/>
          <w:sz w:val="20"/>
          <w:szCs w:val="21"/>
        </w:rPr>
        <w:t xml:space="preserve"> 2001, vgl. </w:t>
      </w:r>
      <w:r w:rsidRPr="00095382">
        <w:rPr>
          <w:rFonts w:ascii="Arial Narrow" w:hAnsi="Arial Narrow"/>
          <w:sz w:val="20"/>
          <w:szCs w:val="16"/>
        </w:rPr>
        <w:t>Daniel V. Moser-</w:t>
      </w:r>
      <w:proofErr w:type="spellStart"/>
      <w:r w:rsidRPr="00095382">
        <w:rPr>
          <w:rFonts w:ascii="Arial Narrow" w:hAnsi="Arial Narrow"/>
          <w:sz w:val="20"/>
          <w:szCs w:val="16"/>
        </w:rPr>
        <w:t>Léchot</w:t>
      </w:r>
      <w:proofErr w:type="spellEnd"/>
      <w:r w:rsidRPr="00095382">
        <w:rPr>
          <w:rFonts w:ascii="Arial Narrow" w:hAnsi="Arial Narrow"/>
          <w:sz w:val="20"/>
          <w:szCs w:val="16"/>
        </w:rPr>
        <w:t>: Wege zur Unabhängigkeit. Die Darstellung der Entkolonisierung in afrikanischen Schulbüchern, in: Geschichte lernen, Heft 99: Dekolonisation (2004), S. 59-65, hier S. 60</w:t>
      </w:r>
      <w:r w:rsidRPr="00095382">
        <w:rPr>
          <w:rFonts w:ascii="Arial Narrow" w:hAnsi="Arial Narrow"/>
          <w:sz w:val="20"/>
          <w:szCs w:val="21"/>
        </w:rPr>
        <w:t>)</w:t>
      </w:r>
    </w:p>
    <w:p w:rsidR="0093662C" w:rsidRPr="00095382" w:rsidRDefault="0093662C" w:rsidP="0093662C">
      <w:pPr>
        <w:jc w:val="both"/>
        <w:rPr>
          <w:rFonts w:ascii="Arial Narrow" w:hAnsi="Arial Narrow"/>
          <w:sz w:val="20"/>
          <w:szCs w:val="21"/>
        </w:rPr>
      </w:pPr>
    </w:p>
    <w:p w:rsidR="00B576CE" w:rsidRPr="00095382" w:rsidRDefault="00B576CE" w:rsidP="0093662C">
      <w:pPr>
        <w:jc w:val="both"/>
        <w:rPr>
          <w:rFonts w:ascii="Arial Narrow" w:hAnsi="Arial Narrow"/>
          <w:sz w:val="20"/>
          <w:szCs w:val="21"/>
        </w:rPr>
      </w:pPr>
    </w:p>
    <w:p w:rsidR="00C30ECF" w:rsidRPr="00095382" w:rsidRDefault="00C30ECF" w:rsidP="0093662C">
      <w:pPr>
        <w:jc w:val="both"/>
        <w:rPr>
          <w:rFonts w:ascii="Arial Narrow" w:hAnsi="Arial Narrow"/>
          <w:sz w:val="20"/>
          <w:szCs w:val="21"/>
        </w:rPr>
      </w:pPr>
      <w:r w:rsidRPr="00095382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C525B4" wp14:editId="7D443936">
                <wp:simplePos x="0" y="0"/>
                <wp:positionH relativeFrom="column">
                  <wp:posOffset>-42545</wp:posOffset>
                </wp:positionH>
                <wp:positionV relativeFrom="paragraph">
                  <wp:posOffset>83820</wp:posOffset>
                </wp:positionV>
                <wp:extent cx="5892800" cy="2895600"/>
                <wp:effectExtent l="0" t="0" r="1270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89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467E6" id="Rechteck 3" o:spid="_x0000_s1026" style="position:absolute;margin-left:-3.35pt;margin-top:6.6pt;width:464pt;height:22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" fillcolor="#f2f2f2 [3052]" strokecolor="gray [1629]" strokeweight="1pt"/>
            </w:pict>
          </mc:Fallback>
        </mc:AlternateContent>
      </w:r>
    </w:p>
    <w:p w:rsidR="00075FF5" w:rsidRPr="00095382" w:rsidRDefault="00075FF5" w:rsidP="00075FF5">
      <w:pPr>
        <w:jc w:val="both"/>
        <w:rPr>
          <w:rFonts w:ascii="Arial Narrow" w:hAnsi="Arial Narrow"/>
          <w:b/>
          <w:szCs w:val="21"/>
        </w:rPr>
      </w:pPr>
      <w:r w:rsidRPr="00095382">
        <w:rPr>
          <w:rFonts w:ascii="Arial Narrow" w:hAnsi="Arial Narrow"/>
          <w:b/>
          <w:szCs w:val="21"/>
        </w:rPr>
        <w:t xml:space="preserve">Jan C. Jansen und Jürgen Osterhammel führen fünf Erklärungsmodelle auf (2013): </w:t>
      </w:r>
    </w:p>
    <w:p w:rsidR="00075FF5" w:rsidRPr="00095382" w:rsidRDefault="00075FF5" w:rsidP="00075FF5">
      <w:pPr>
        <w:jc w:val="both"/>
        <w:rPr>
          <w:rFonts w:ascii="Arial Narrow" w:hAnsi="Arial Narrow"/>
          <w:szCs w:val="21"/>
        </w:rPr>
      </w:pPr>
    </w:p>
    <w:p w:rsidR="00075FF5" w:rsidRPr="00095382" w:rsidRDefault="00075FF5" w:rsidP="00075FF5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Cs w:val="21"/>
        </w:rPr>
      </w:pPr>
      <w:r w:rsidRPr="00095382">
        <w:rPr>
          <w:rFonts w:ascii="Arial Narrow" w:hAnsi="Arial Narrow"/>
          <w:szCs w:val="21"/>
        </w:rPr>
        <w:t>Modell der Machtübertragung (</w:t>
      </w:r>
      <w:proofErr w:type="spellStart"/>
      <w:r w:rsidRPr="00095382">
        <w:rPr>
          <w:rFonts w:ascii="Arial Narrow" w:hAnsi="Arial Narrow"/>
          <w:i/>
          <w:szCs w:val="21"/>
        </w:rPr>
        <w:t>transfer</w:t>
      </w:r>
      <w:proofErr w:type="spellEnd"/>
      <w:r w:rsidRPr="00095382">
        <w:rPr>
          <w:rFonts w:ascii="Arial Narrow" w:hAnsi="Arial Narrow"/>
          <w:i/>
          <w:szCs w:val="21"/>
        </w:rPr>
        <w:t xml:space="preserve"> </w:t>
      </w:r>
      <w:proofErr w:type="spellStart"/>
      <w:r w:rsidRPr="00095382">
        <w:rPr>
          <w:rFonts w:ascii="Arial Narrow" w:hAnsi="Arial Narrow"/>
          <w:i/>
          <w:szCs w:val="21"/>
        </w:rPr>
        <w:t>of</w:t>
      </w:r>
      <w:proofErr w:type="spellEnd"/>
      <w:r w:rsidRPr="00095382">
        <w:rPr>
          <w:rFonts w:ascii="Arial Narrow" w:hAnsi="Arial Narrow"/>
          <w:i/>
          <w:szCs w:val="21"/>
        </w:rPr>
        <w:t xml:space="preserve"> power</w:t>
      </w:r>
      <w:r w:rsidRPr="00095382">
        <w:rPr>
          <w:rFonts w:ascii="Arial Narrow" w:hAnsi="Arial Narrow"/>
          <w:szCs w:val="21"/>
        </w:rPr>
        <w:t xml:space="preserve">): </w:t>
      </w:r>
      <w:r w:rsidR="00C30ECF" w:rsidRPr="00095382">
        <w:rPr>
          <w:rFonts w:ascii="Arial Narrow" w:hAnsi="Arial Narrow"/>
          <w:szCs w:val="21"/>
        </w:rPr>
        <w:t xml:space="preserve">Dekolonisation als </w:t>
      </w:r>
      <w:r w:rsidR="00657427" w:rsidRPr="00095382">
        <w:rPr>
          <w:rFonts w:ascii="Arial Narrow" w:hAnsi="Arial Narrow"/>
          <w:szCs w:val="21"/>
        </w:rPr>
        <w:t xml:space="preserve">zielstrebiges </w:t>
      </w:r>
      <w:r w:rsidRPr="00095382">
        <w:rPr>
          <w:rFonts w:ascii="Arial Narrow" w:hAnsi="Arial Narrow"/>
          <w:szCs w:val="21"/>
        </w:rPr>
        <w:t xml:space="preserve">Zusammenwirken von </w:t>
      </w:r>
      <w:r w:rsidR="00657427" w:rsidRPr="00095382">
        <w:rPr>
          <w:rFonts w:ascii="Arial Narrow" w:hAnsi="Arial Narrow"/>
          <w:szCs w:val="21"/>
        </w:rPr>
        <w:t xml:space="preserve">den europäischen Administrationen und </w:t>
      </w:r>
      <w:r w:rsidRPr="00095382">
        <w:rPr>
          <w:rFonts w:ascii="Arial Narrow" w:hAnsi="Arial Narrow"/>
          <w:szCs w:val="21"/>
        </w:rPr>
        <w:t xml:space="preserve">gemäßigten einheimischen Politikern </w:t>
      </w:r>
    </w:p>
    <w:p w:rsidR="00075FF5" w:rsidRPr="00095382" w:rsidRDefault="00075FF5" w:rsidP="00075FF5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Cs w:val="21"/>
        </w:rPr>
      </w:pPr>
      <w:r w:rsidRPr="00095382">
        <w:rPr>
          <w:rFonts w:ascii="Arial Narrow" w:hAnsi="Arial Narrow"/>
          <w:szCs w:val="21"/>
        </w:rPr>
        <w:t>Modell der Selbstbefreiung: Sturz der Fremdherrschaft durch Befreiungsbewegungen</w:t>
      </w:r>
    </w:p>
    <w:p w:rsidR="00075FF5" w:rsidRPr="00095382" w:rsidRDefault="00075FF5" w:rsidP="00075FF5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Cs w:val="21"/>
        </w:rPr>
      </w:pPr>
      <w:r w:rsidRPr="00095382">
        <w:rPr>
          <w:rFonts w:ascii="Arial Narrow" w:hAnsi="Arial Narrow"/>
          <w:szCs w:val="21"/>
        </w:rPr>
        <w:t>Neokolonialismus-Modell: freiwilliger Verzicht der Kolonialmächte mit dem Ziel, die wirtschaftliche Ausbeutung billiger, d.h. ohne direkte Herrschaft durchzusetzen (multinationale Konzerne)</w:t>
      </w:r>
    </w:p>
    <w:p w:rsidR="00075FF5" w:rsidRDefault="00075FF5" w:rsidP="00075FF5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 w:val="21"/>
          <w:szCs w:val="21"/>
        </w:rPr>
      </w:pPr>
      <w:r w:rsidRPr="00095382">
        <w:rPr>
          <w:rFonts w:ascii="Arial Narrow" w:hAnsi="Arial Narrow"/>
          <w:szCs w:val="21"/>
        </w:rPr>
        <w:t xml:space="preserve">Entlastungs-Modell: Dekolonisation als planvolle Modernisierung mit Verzicht auf teure, nutzlose, riskante … </w:t>
      </w:r>
      <w:r>
        <w:rPr>
          <w:rFonts w:ascii="Arial Narrow" w:hAnsi="Arial Narrow"/>
          <w:sz w:val="21"/>
          <w:szCs w:val="21"/>
        </w:rPr>
        <w:t>Positionen in Übersee; meist verbunden mit einer Verlagerung weltpolitischer Prioritäten (z. B. vom Reich nach Europa)</w:t>
      </w:r>
    </w:p>
    <w:p w:rsidR="00075FF5" w:rsidRDefault="00075FF5" w:rsidP="00075FF5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Weltpolitik-Modell: bipolare Weltordnung lässt für traditionelle europäische Strategie der Machtsicherung keinen Platz mehr</w:t>
      </w:r>
    </w:p>
    <w:p w:rsidR="00075FF5" w:rsidRDefault="00075FF5" w:rsidP="00075FF5">
      <w:pPr>
        <w:pStyle w:val="Listenabsatz"/>
        <w:jc w:val="both"/>
        <w:rPr>
          <w:rFonts w:ascii="Arial Narrow" w:hAnsi="Arial Narrow"/>
          <w:sz w:val="21"/>
          <w:szCs w:val="21"/>
        </w:rPr>
      </w:pPr>
    </w:p>
    <w:p w:rsidR="00075FF5" w:rsidRPr="00C30ECF" w:rsidRDefault="00075FF5" w:rsidP="00C30ECF">
      <w:pPr>
        <w:pStyle w:val="Listenabsatz"/>
        <w:jc w:val="both"/>
        <w:rPr>
          <w:rFonts w:ascii="Arial Narrow" w:hAnsi="Arial Narrow"/>
          <w:sz w:val="21"/>
          <w:szCs w:val="21"/>
        </w:rPr>
      </w:pPr>
      <w:r w:rsidRPr="00075FF5">
        <w:rPr>
          <w:rFonts w:ascii="Arial Narrow" w:hAnsi="Arial Narrow"/>
          <w:sz w:val="21"/>
          <w:szCs w:val="21"/>
        </w:rPr>
        <w:sym w:font="Wingdings" w:char="F0E8"/>
      </w:r>
      <w:r>
        <w:rPr>
          <w:rFonts w:ascii="Arial Narrow" w:hAnsi="Arial Narrow"/>
          <w:sz w:val="21"/>
          <w:szCs w:val="21"/>
        </w:rPr>
        <w:t xml:space="preserve"> </w:t>
      </w:r>
      <w:r w:rsidR="00C30ECF">
        <w:rPr>
          <w:rFonts w:ascii="Arial Narrow" w:hAnsi="Arial Narrow"/>
          <w:sz w:val="21"/>
          <w:szCs w:val="21"/>
        </w:rPr>
        <w:t>Modelle werden heute nicht mehr in Reinform vertreten, sondern unterschiedlich kombiniert</w:t>
      </w:r>
    </w:p>
    <w:p w:rsidR="00075FF5" w:rsidRDefault="00075FF5" w:rsidP="00075FF5">
      <w:pPr>
        <w:jc w:val="both"/>
        <w:rPr>
          <w:rFonts w:ascii="Arial Narrow" w:hAnsi="Arial Narrow"/>
          <w:sz w:val="21"/>
          <w:szCs w:val="21"/>
        </w:rPr>
      </w:pPr>
    </w:p>
    <w:p w:rsidR="00075FF5" w:rsidRPr="00095382" w:rsidRDefault="00075FF5" w:rsidP="00075FF5">
      <w:pPr>
        <w:jc w:val="both"/>
        <w:rPr>
          <w:rFonts w:ascii="Arial Narrow" w:hAnsi="Arial Narrow"/>
          <w:sz w:val="20"/>
          <w:szCs w:val="21"/>
        </w:rPr>
      </w:pPr>
      <w:r w:rsidRPr="00095382">
        <w:rPr>
          <w:rFonts w:ascii="Arial Narrow" w:hAnsi="Arial Narrow"/>
          <w:sz w:val="20"/>
          <w:szCs w:val="21"/>
        </w:rPr>
        <w:t>(</w:t>
      </w:r>
      <w:r w:rsidR="00C30ECF" w:rsidRPr="00095382">
        <w:rPr>
          <w:rFonts w:ascii="Arial Narrow" w:hAnsi="Arial Narrow"/>
          <w:sz w:val="20"/>
          <w:szCs w:val="21"/>
        </w:rPr>
        <w:t>Jansen, J.C. / Osterhammel, J.: Dekolonisation. Das Ende der Imperien, München 2013, S. 2</w:t>
      </w:r>
      <w:r w:rsidR="00B57607" w:rsidRPr="00095382">
        <w:rPr>
          <w:rFonts w:ascii="Arial Narrow" w:hAnsi="Arial Narrow"/>
          <w:sz w:val="20"/>
          <w:szCs w:val="21"/>
        </w:rPr>
        <w:t>5f.</w:t>
      </w:r>
      <w:r w:rsidRPr="00095382">
        <w:rPr>
          <w:rFonts w:ascii="Arial Narrow" w:hAnsi="Arial Narrow"/>
          <w:sz w:val="20"/>
          <w:szCs w:val="21"/>
        </w:rPr>
        <w:t>)</w:t>
      </w:r>
    </w:p>
    <w:p w:rsidR="00095382" w:rsidRPr="00095382" w:rsidRDefault="00095382" w:rsidP="00D90756">
      <w:pPr>
        <w:jc w:val="both"/>
        <w:rPr>
          <w:rFonts w:ascii="Arial Narrow" w:hAnsi="Arial Narrow"/>
          <w:sz w:val="20"/>
          <w:szCs w:val="21"/>
        </w:rPr>
      </w:pPr>
      <w:bookmarkStart w:id="0" w:name="_GoBack"/>
      <w:bookmarkEnd w:id="0"/>
    </w:p>
    <w:sectPr w:rsidR="00095382" w:rsidRPr="00095382" w:rsidSect="00D90756">
      <w:pgSz w:w="11900" w:h="16840"/>
      <w:pgMar w:top="885" w:right="1417" w:bottom="94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2D8" w:rsidRDefault="008622D8" w:rsidP="00736DE3">
      <w:r>
        <w:separator/>
      </w:r>
    </w:p>
  </w:endnote>
  <w:endnote w:type="continuationSeparator" w:id="0">
    <w:p w:rsidR="008622D8" w:rsidRDefault="008622D8" w:rsidP="0073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2D8" w:rsidRDefault="008622D8" w:rsidP="00736DE3">
      <w:r>
        <w:separator/>
      </w:r>
    </w:p>
  </w:footnote>
  <w:footnote w:type="continuationSeparator" w:id="0">
    <w:p w:rsidR="008622D8" w:rsidRDefault="008622D8" w:rsidP="0073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320"/>
    <w:multiLevelType w:val="hybridMultilevel"/>
    <w:tmpl w:val="30E057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04C8"/>
    <w:multiLevelType w:val="hybridMultilevel"/>
    <w:tmpl w:val="30E057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E6749"/>
    <w:multiLevelType w:val="multilevel"/>
    <w:tmpl w:val="4B96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40912"/>
    <w:multiLevelType w:val="hybridMultilevel"/>
    <w:tmpl w:val="45E4C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4F"/>
    <w:rsid w:val="000306F3"/>
    <w:rsid w:val="00036714"/>
    <w:rsid w:val="000707A1"/>
    <w:rsid w:val="00075FF5"/>
    <w:rsid w:val="00082443"/>
    <w:rsid w:val="000948DE"/>
    <w:rsid w:val="00095382"/>
    <w:rsid w:val="000A1198"/>
    <w:rsid w:val="000B583A"/>
    <w:rsid w:val="000E2F49"/>
    <w:rsid w:val="000F72CA"/>
    <w:rsid w:val="0013408F"/>
    <w:rsid w:val="00140927"/>
    <w:rsid w:val="00142A9E"/>
    <w:rsid w:val="00180A0E"/>
    <w:rsid w:val="00187CE3"/>
    <w:rsid w:val="0019016B"/>
    <w:rsid w:val="001A1D4E"/>
    <w:rsid w:val="001F6F59"/>
    <w:rsid w:val="002128F2"/>
    <w:rsid w:val="00230272"/>
    <w:rsid w:val="0024620C"/>
    <w:rsid w:val="0027473D"/>
    <w:rsid w:val="00285D69"/>
    <w:rsid w:val="00291F7B"/>
    <w:rsid w:val="00294037"/>
    <w:rsid w:val="002B16AE"/>
    <w:rsid w:val="002E67FD"/>
    <w:rsid w:val="00303BE7"/>
    <w:rsid w:val="0033512D"/>
    <w:rsid w:val="003800CC"/>
    <w:rsid w:val="003C20D6"/>
    <w:rsid w:val="003F2AD5"/>
    <w:rsid w:val="003F3F3A"/>
    <w:rsid w:val="004140F1"/>
    <w:rsid w:val="00433F71"/>
    <w:rsid w:val="004465E7"/>
    <w:rsid w:val="00452062"/>
    <w:rsid w:val="0046464A"/>
    <w:rsid w:val="00471CED"/>
    <w:rsid w:val="0048555F"/>
    <w:rsid w:val="00487851"/>
    <w:rsid w:val="004918F9"/>
    <w:rsid w:val="004B6DFE"/>
    <w:rsid w:val="004D5B13"/>
    <w:rsid w:val="004F52E2"/>
    <w:rsid w:val="00504BD1"/>
    <w:rsid w:val="00504DAF"/>
    <w:rsid w:val="005134B4"/>
    <w:rsid w:val="00520E46"/>
    <w:rsid w:val="00521B85"/>
    <w:rsid w:val="005406BD"/>
    <w:rsid w:val="00553678"/>
    <w:rsid w:val="00554EFE"/>
    <w:rsid w:val="00566A9F"/>
    <w:rsid w:val="005A7D72"/>
    <w:rsid w:val="005E4832"/>
    <w:rsid w:val="00614264"/>
    <w:rsid w:val="00647742"/>
    <w:rsid w:val="00657427"/>
    <w:rsid w:val="00676935"/>
    <w:rsid w:val="00685522"/>
    <w:rsid w:val="006A7DDF"/>
    <w:rsid w:val="006E25D3"/>
    <w:rsid w:val="00721920"/>
    <w:rsid w:val="00736DE3"/>
    <w:rsid w:val="007557F8"/>
    <w:rsid w:val="007B34BC"/>
    <w:rsid w:val="007E0A62"/>
    <w:rsid w:val="008103A9"/>
    <w:rsid w:val="008622D8"/>
    <w:rsid w:val="00871633"/>
    <w:rsid w:val="008A73EB"/>
    <w:rsid w:val="008B088A"/>
    <w:rsid w:val="008B39CE"/>
    <w:rsid w:val="008D05E5"/>
    <w:rsid w:val="00924A4F"/>
    <w:rsid w:val="00932AEB"/>
    <w:rsid w:val="0093662C"/>
    <w:rsid w:val="00966D8C"/>
    <w:rsid w:val="00984CCD"/>
    <w:rsid w:val="009862FE"/>
    <w:rsid w:val="009A1482"/>
    <w:rsid w:val="00A1504B"/>
    <w:rsid w:val="00A21725"/>
    <w:rsid w:val="00A8598E"/>
    <w:rsid w:val="00A93C3D"/>
    <w:rsid w:val="00AC4299"/>
    <w:rsid w:val="00AF491F"/>
    <w:rsid w:val="00AF78F3"/>
    <w:rsid w:val="00B031DC"/>
    <w:rsid w:val="00B57607"/>
    <w:rsid w:val="00B57679"/>
    <w:rsid w:val="00B576CE"/>
    <w:rsid w:val="00BA6345"/>
    <w:rsid w:val="00BB3E51"/>
    <w:rsid w:val="00BC4C99"/>
    <w:rsid w:val="00BD1F2B"/>
    <w:rsid w:val="00C01A2C"/>
    <w:rsid w:val="00C25A65"/>
    <w:rsid w:val="00C26BA6"/>
    <w:rsid w:val="00C30ECF"/>
    <w:rsid w:val="00C6265D"/>
    <w:rsid w:val="00C6647D"/>
    <w:rsid w:val="00C724D4"/>
    <w:rsid w:val="00C84546"/>
    <w:rsid w:val="00C966F6"/>
    <w:rsid w:val="00CD2080"/>
    <w:rsid w:val="00D00297"/>
    <w:rsid w:val="00D41DDD"/>
    <w:rsid w:val="00D90756"/>
    <w:rsid w:val="00DA68FB"/>
    <w:rsid w:val="00DB0CF5"/>
    <w:rsid w:val="00DB76F3"/>
    <w:rsid w:val="00DD63E2"/>
    <w:rsid w:val="00E06129"/>
    <w:rsid w:val="00E70B3D"/>
    <w:rsid w:val="00E902AA"/>
    <w:rsid w:val="00EB5F27"/>
    <w:rsid w:val="00EC27C7"/>
    <w:rsid w:val="00F03164"/>
    <w:rsid w:val="00F10F8E"/>
    <w:rsid w:val="00F614AB"/>
    <w:rsid w:val="00F76CFD"/>
    <w:rsid w:val="00F86CC9"/>
    <w:rsid w:val="00FA5A7C"/>
    <w:rsid w:val="00FB403D"/>
    <w:rsid w:val="00FD22CB"/>
    <w:rsid w:val="00FF4CAE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F740"/>
  <w14:defaultImageDpi w14:val="32767"/>
  <w15:chartTrackingRefBased/>
  <w15:docId w15:val="{CA02F169-BE3E-E442-ABA8-B79EB86F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576C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50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1504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A148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F491F"/>
    <w:pPr>
      <w:spacing w:before="100" w:beforeAutospacing="1" w:after="100" w:afterAutospacing="1"/>
    </w:pPr>
  </w:style>
  <w:style w:type="paragraph" w:customStyle="1" w:styleId="block">
    <w:name w:val="block"/>
    <w:basedOn w:val="Standard"/>
    <w:rsid w:val="00AF491F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36D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6D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6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Armin Koch</cp:lastModifiedBy>
  <cp:revision>39</cp:revision>
  <cp:lastPrinted>2019-01-30T17:38:00Z</cp:lastPrinted>
  <dcterms:created xsi:type="dcterms:W3CDTF">2019-01-22T11:24:00Z</dcterms:created>
  <dcterms:modified xsi:type="dcterms:W3CDTF">2020-03-18T17:48:00Z</dcterms:modified>
</cp:coreProperties>
</file>