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1FE58" w14:textId="77777777" w:rsidR="002B74CC" w:rsidRPr="002A5271" w:rsidRDefault="00C24429" w:rsidP="002B74CC">
      <w:pPr>
        <w:spacing w:after="120"/>
        <w:ind w:left="-142"/>
        <w:rPr>
          <w:rFonts w:ascii="Arial Narrow" w:hAnsi="Arial Narrow"/>
          <w:b/>
          <w:sz w:val="28"/>
        </w:rPr>
      </w:pPr>
      <w:bookmarkStart w:id="0" w:name="_GoBack"/>
      <w:bookmarkEnd w:id="0"/>
      <w:r>
        <w:rPr>
          <w:rFonts w:ascii="Arial Narrow" w:hAnsi="Arial Narrow"/>
          <w:b/>
          <w:sz w:val="28"/>
        </w:rPr>
        <w:t>Aktuelle Probleme postkolonialer Räume in historischer Perspektive</w:t>
      </w:r>
      <w:r w:rsidR="002B74CC" w:rsidRPr="002A5271">
        <w:rPr>
          <w:rFonts w:ascii="Arial Narrow" w:hAnsi="Arial Narrow"/>
          <w:b/>
          <w:sz w:val="28"/>
        </w:rPr>
        <w:t xml:space="preserve"> </w:t>
      </w:r>
      <w:r w:rsidR="002B74CC" w:rsidRPr="002A5271">
        <w:rPr>
          <w:rFonts w:ascii="Arial Narrow" w:hAnsi="Arial Narrow"/>
          <w:b/>
          <w:sz w:val="28"/>
        </w:rPr>
        <w:sym w:font="Wingdings" w:char="F074"/>
      </w:r>
      <w:r w:rsidR="002B74CC" w:rsidRPr="002A5271">
        <w:rPr>
          <w:rFonts w:ascii="Arial Narrow" w:hAnsi="Arial Narrow"/>
          <w:b/>
          <w:sz w:val="28"/>
        </w:rPr>
        <w:t xml:space="preserve"> Vorschlag einer Sequenzplanung</w:t>
      </w:r>
      <w:r>
        <w:rPr>
          <w:rFonts w:ascii="Arial Narrow" w:hAnsi="Arial Narrow"/>
          <w:b/>
          <w:sz w:val="28"/>
        </w:rPr>
        <w:t xml:space="preserve"> </w:t>
      </w:r>
      <w:r w:rsidRPr="002A5271">
        <w:rPr>
          <w:rFonts w:ascii="Arial Narrow" w:hAnsi="Arial Narrow"/>
          <w:b/>
          <w:sz w:val="28"/>
        </w:rPr>
        <w:sym w:font="Wingdings" w:char="F074"/>
      </w:r>
      <w:r>
        <w:rPr>
          <w:rFonts w:ascii="Arial Narrow" w:hAnsi="Arial Narrow"/>
          <w:b/>
          <w:sz w:val="28"/>
        </w:rPr>
        <w:t xml:space="preserve"> zwei- und fünfstündig</w:t>
      </w:r>
    </w:p>
    <w:tbl>
      <w:tblPr>
        <w:tblStyle w:val="Tabellenraster"/>
        <w:tblW w:w="0" w:type="auto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41"/>
        <w:gridCol w:w="4241"/>
        <w:gridCol w:w="3119"/>
      </w:tblGrid>
      <w:tr w:rsidR="00C24429" w:rsidRPr="00F06012" w14:paraId="6CE6DB27" w14:textId="77777777" w:rsidTr="009F0D13"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2C735BC" w14:textId="77777777" w:rsidR="00C24429" w:rsidRPr="00F06012" w:rsidRDefault="00C24429" w:rsidP="009F0D1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06012">
              <w:rPr>
                <w:rFonts w:ascii="Arial Narrow" w:hAnsi="Arial Narrow"/>
                <w:b/>
                <w:sz w:val="20"/>
                <w:szCs w:val="20"/>
              </w:rPr>
              <w:t>Standard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(12.2., 2-/</w:t>
            </w:r>
            <w:r w:rsidRPr="006E32EC">
              <w:rPr>
                <w:rFonts w:ascii="Arial Narrow" w:hAnsi="Arial Narrow"/>
                <w:b/>
                <w:color w:val="C00000"/>
                <w:sz w:val="20"/>
                <w:szCs w:val="20"/>
              </w:rPr>
              <w:t>5</w:t>
            </w:r>
            <w:r>
              <w:rPr>
                <w:rFonts w:ascii="Arial Narrow" w:hAnsi="Arial Narrow"/>
                <w:b/>
                <w:sz w:val="20"/>
                <w:szCs w:val="20"/>
              </w:rPr>
              <w:t>-stündig)</w:t>
            </w:r>
          </w:p>
        </w:tc>
        <w:tc>
          <w:tcPr>
            <w:tcW w:w="42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F6536DF" w14:textId="77777777" w:rsidR="00C24429" w:rsidRPr="00F06012" w:rsidRDefault="00C2442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Obligatorisch</w:t>
            </w:r>
          </w:p>
        </w:tc>
        <w:tc>
          <w:tcPr>
            <w:tcW w:w="42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8F71773" w14:textId="77777777" w:rsidR="00C24429" w:rsidRPr="00F06012" w:rsidRDefault="00C2442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Optional</w:t>
            </w:r>
            <w:r w:rsidR="006E32EC">
              <w:rPr>
                <w:rFonts w:ascii="Arial Narrow" w:hAnsi="Arial Narrow"/>
                <w:b/>
                <w:sz w:val="20"/>
                <w:szCs w:val="20"/>
              </w:rPr>
              <w:t xml:space="preserve"> (v.a. 5-stündig)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A4B7C27" w14:textId="77777777" w:rsidR="00C24429" w:rsidRPr="00F06012" w:rsidRDefault="00C2442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Vertiefungsmöglichkeiten</w:t>
            </w:r>
          </w:p>
        </w:tc>
      </w:tr>
      <w:tr w:rsidR="009F0D13" w:rsidRPr="00ED1585" w14:paraId="5A60A712" w14:textId="77777777" w:rsidTr="00550D4F">
        <w:trPr>
          <w:trHeight w:val="2811"/>
        </w:trPr>
        <w:tc>
          <w:tcPr>
            <w:tcW w:w="2552" w:type="dxa"/>
            <w:vMerge w:val="restart"/>
            <w:vAlign w:val="center"/>
          </w:tcPr>
          <w:p w14:paraId="6F725217" w14:textId="77777777" w:rsidR="009F0D13" w:rsidRPr="00ED1585" w:rsidRDefault="009F0D13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.4.7 (1) die Entstehung antik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lonialer Bewegungen als Folge zerfallender Imperien nach 1918 erklären</w:t>
            </w:r>
          </w:p>
          <w:p w14:paraId="0FC41DFE" w14:textId="77777777" w:rsidR="009F0D13" w:rsidRPr="00ED1585" w:rsidRDefault="009F0D13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Imperium, Kolonialismus, Vierzehn Punkte, Selbstb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stimmungsrecht der Völker, Völkerbund, Mandatsgebiet</w:t>
            </w:r>
            <w:r w:rsidRPr="00ED158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4241" w:type="dxa"/>
          </w:tcPr>
          <w:p w14:paraId="71BF4075" w14:textId="77777777" w:rsidR="009F0D13" w:rsidRPr="002E2FAA" w:rsidRDefault="0046084A" w:rsidP="009F0D1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1. 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Einführung</w:t>
            </w:r>
            <w:r w:rsidR="009F0D13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(1)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– </w:t>
            </w:r>
            <w:r w:rsidR="009F0D13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Von der kolonialen Weltordnung </w:t>
            </w:r>
            <w:r w:rsidR="00062817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über die Dekolonisation </w:t>
            </w:r>
            <w:r w:rsidR="009F0D13">
              <w:rPr>
                <w:rFonts w:ascii="Arial Narrow" w:hAnsi="Arial Narrow"/>
                <w:b/>
                <w:sz w:val="20"/>
                <w:szCs w:val="20"/>
                <w:u w:val="single"/>
              </w:rPr>
              <w:t>zur Gegenwart</w:t>
            </w:r>
          </w:p>
          <w:p w14:paraId="5118C8A1" w14:textId="77777777" w:rsidR="00284941" w:rsidRDefault="009F0D13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Kartenreihe: von der kolonialen Weltordnung </w:t>
            </w:r>
            <w:r w:rsidR="00062817">
              <w:rPr>
                <w:rFonts w:ascii="Arial Narrow" w:hAnsi="Arial Narrow"/>
                <w:sz w:val="20"/>
                <w:szCs w:val="20"/>
              </w:rPr>
              <w:t>über die</w:t>
            </w:r>
            <w:r>
              <w:rPr>
                <w:rFonts w:ascii="Arial Narrow" w:hAnsi="Arial Narrow"/>
                <w:sz w:val="20"/>
                <w:szCs w:val="20"/>
              </w:rPr>
              <w:t xml:space="preserve"> Dekolonisation zur Gegenwart</w:t>
            </w:r>
          </w:p>
          <w:p w14:paraId="3ED5B9B5" w14:textId="77777777" w:rsidR="002E10F1" w:rsidRDefault="002E10F1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Weltordnung um 1900</w:t>
            </w:r>
          </w:p>
          <w:p w14:paraId="284219D7" w14:textId="77777777" w:rsidR="00284941" w:rsidRDefault="00284941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Kolonialismus</w:t>
            </w:r>
            <w:r w:rsidR="002E10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– mehr als ein Herrschaftsverhältnis (unterschiedliche Dimensionen des Phänomens)</w:t>
            </w:r>
          </w:p>
          <w:p w14:paraId="0AE612B8" w14:textId="77777777" w:rsidR="009F0D13" w:rsidRPr="00550D4F" w:rsidRDefault="009F0D13" w:rsidP="00550D4F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Aktuelle Kontroverse</w:t>
            </w:r>
            <w:r w:rsidR="00E41083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2E2FAA">
              <w:rPr>
                <w:rFonts w:ascii="Arial Narrow" w:hAnsi="Arial Narrow"/>
                <w:sz w:val="20"/>
                <w:szCs w:val="20"/>
              </w:rPr>
              <w:t xml:space="preserve">= </w:t>
            </w:r>
            <w:r w:rsidR="00E41083">
              <w:rPr>
                <w:rFonts w:ascii="Arial Narrow" w:hAnsi="Arial Narrow"/>
                <w:sz w:val="20"/>
                <w:szCs w:val="20"/>
              </w:rPr>
              <w:t>Untersuchungsperspektive für die Einheit)</w:t>
            </w:r>
            <w:r>
              <w:rPr>
                <w:rFonts w:ascii="Arial Narrow" w:hAnsi="Arial Narrow"/>
                <w:sz w:val="20"/>
                <w:szCs w:val="20"/>
              </w:rPr>
              <w:t>: Wie weit reicht die Verantwortung von Kolonialismus und Dekolonisierung?</w:t>
            </w:r>
          </w:p>
        </w:tc>
        <w:tc>
          <w:tcPr>
            <w:tcW w:w="4241" w:type="dxa"/>
          </w:tcPr>
          <w:p w14:paraId="3768C681" w14:textId="77777777" w:rsidR="00E41083" w:rsidRPr="00653206" w:rsidRDefault="00E41083" w:rsidP="00E4108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2. </w:t>
            </w:r>
            <w:r w:rsidRPr="00653206">
              <w:rPr>
                <w:rFonts w:ascii="Arial Narrow" w:hAnsi="Arial Narrow"/>
                <w:b/>
                <w:sz w:val="20"/>
                <w:szCs w:val="20"/>
                <w:u w:val="single"/>
              </w:rPr>
              <w:t>Einführun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g (2) – Fallbeispiel Belgisch-Kongo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9941C67" w14:textId="77777777" w:rsidR="00E41083" w:rsidRDefault="00E41083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Jahrhundert-Bild „Degendieb von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Léopoldville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“ </w:t>
            </w:r>
          </w:p>
          <w:p w14:paraId="52127794" w14:textId="77777777" w:rsidR="002E2FAA" w:rsidRDefault="00E41083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Dekolonisation als Moment</w:t>
            </w:r>
            <w:r w:rsidR="00062817">
              <w:rPr>
                <w:rFonts w:ascii="Arial Narrow" w:hAnsi="Arial Narrow"/>
                <w:sz w:val="20"/>
                <w:szCs w:val="20"/>
              </w:rPr>
              <w:t>: Reden König Baudouins und Patrice Lumumbas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298252A4" w14:textId="77777777" w:rsidR="00E41083" w:rsidRDefault="002E2FAA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41083">
              <w:rPr>
                <w:rFonts w:ascii="Arial Narrow" w:hAnsi="Arial Narrow"/>
                <w:sz w:val="20"/>
                <w:szCs w:val="20"/>
              </w:rPr>
              <w:t>Dekolonisierung als Prozess</w:t>
            </w:r>
            <w:r w:rsidR="00062817">
              <w:rPr>
                <w:rFonts w:ascii="Arial Narrow" w:hAnsi="Arial Narrow"/>
                <w:sz w:val="20"/>
                <w:szCs w:val="20"/>
              </w:rPr>
              <w:t>: Rückblick in die kolon</w:t>
            </w:r>
            <w:r w:rsidR="00062817">
              <w:rPr>
                <w:rFonts w:ascii="Arial Narrow" w:hAnsi="Arial Narrow"/>
                <w:sz w:val="20"/>
                <w:szCs w:val="20"/>
              </w:rPr>
              <w:t>i</w:t>
            </w:r>
            <w:r w:rsidR="00062817">
              <w:rPr>
                <w:rFonts w:ascii="Arial Narrow" w:hAnsi="Arial Narrow"/>
                <w:sz w:val="20"/>
                <w:szCs w:val="20"/>
              </w:rPr>
              <w:t>ale Vergangenheit, Ausblick auf die weitere Entwic</w:t>
            </w:r>
            <w:r w:rsidR="00062817">
              <w:rPr>
                <w:rFonts w:ascii="Arial Narrow" w:hAnsi="Arial Narrow"/>
                <w:sz w:val="20"/>
                <w:szCs w:val="20"/>
              </w:rPr>
              <w:t>k</w:t>
            </w:r>
            <w:r w:rsidR="00062817">
              <w:rPr>
                <w:rFonts w:ascii="Arial Narrow" w:hAnsi="Arial Narrow"/>
                <w:sz w:val="20"/>
                <w:szCs w:val="20"/>
              </w:rPr>
              <w:t>lung – „Souveränität“?</w:t>
            </w:r>
          </w:p>
          <w:p w14:paraId="07A92A4F" w14:textId="67E825E4" w:rsidR="009F0D13" w:rsidRPr="00550D4F" w:rsidRDefault="00E41083" w:rsidP="00550D4F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Analyseperspektiven</w:t>
            </w:r>
            <w:r w:rsidR="00CF7407">
              <w:rPr>
                <w:rFonts w:ascii="Arial Narrow" w:hAnsi="Arial Narrow"/>
                <w:sz w:val="20"/>
                <w:szCs w:val="20"/>
              </w:rPr>
              <w:t xml:space="preserve"> / Analysemodell</w:t>
            </w:r>
          </w:p>
        </w:tc>
        <w:tc>
          <w:tcPr>
            <w:tcW w:w="3119" w:type="dxa"/>
          </w:tcPr>
          <w:p w14:paraId="7FC8CC2C" w14:textId="77777777" w:rsidR="009F0D13" w:rsidRPr="00F944A2" w:rsidRDefault="002E2FAA" w:rsidP="008E1BC7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Zu 1.: </w:t>
            </w:r>
          </w:p>
          <w:p w14:paraId="554DAC05" w14:textId="77777777" w:rsidR="009F0D13" w:rsidRPr="00550D4F" w:rsidRDefault="009F0D13" w:rsidP="00550D4F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2FAA">
              <w:rPr>
                <w:rFonts w:ascii="Arial Narrow" w:hAnsi="Arial Narrow"/>
                <w:sz w:val="20"/>
                <w:szCs w:val="20"/>
              </w:rPr>
              <w:t xml:space="preserve">Weltkarten – Weltbilder: </w:t>
            </w:r>
            <w:r>
              <w:rPr>
                <w:rFonts w:ascii="Arial Narrow" w:hAnsi="Arial Narrow"/>
                <w:sz w:val="20"/>
                <w:szCs w:val="20"/>
              </w:rPr>
              <w:t xml:space="preserve">Imperial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Federation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Map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2FAA">
              <w:rPr>
                <w:rFonts w:ascii="Arial Narrow" w:hAnsi="Arial Narrow"/>
                <w:sz w:val="20"/>
                <w:szCs w:val="20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 xml:space="preserve"> Arno Peters‘ Wel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karte</w:t>
            </w:r>
          </w:p>
          <w:p w14:paraId="1FCD155C" w14:textId="77777777" w:rsidR="00E41083" w:rsidRDefault="002E2FAA" w:rsidP="00E41083">
            <w:pPr>
              <w:spacing w:before="120"/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Zu 2.: </w:t>
            </w:r>
          </w:p>
          <w:p w14:paraId="19B92039" w14:textId="77777777" w:rsidR="006F1659" w:rsidRDefault="006F1659" w:rsidP="002E2FAA">
            <w:pPr>
              <w:spacing w:before="120"/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Bildanalyse „Degendieb“</w:t>
            </w:r>
          </w:p>
          <w:p w14:paraId="6E15EE37" w14:textId="3AC56CF5" w:rsidR="009F0D13" w:rsidRPr="00550D4F" w:rsidRDefault="00E41083" w:rsidP="00550D4F">
            <w:pPr>
              <w:spacing w:before="120"/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A4E62">
              <w:rPr>
                <w:rFonts w:ascii="Arial Narrow" w:hAnsi="Arial Narrow"/>
                <w:sz w:val="20"/>
                <w:szCs w:val="20"/>
              </w:rPr>
              <w:t>Belgiens Umgang mit der kolonialen Vergangenheit</w:t>
            </w:r>
            <w:r w:rsidR="005A60A6">
              <w:rPr>
                <w:rFonts w:ascii="Arial Narrow" w:hAnsi="Arial Narrow"/>
                <w:sz w:val="20"/>
                <w:szCs w:val="20"/>
              </w:rPr>
              <w:t>: Denkmäler und M</w:t>
            </w:r>
            <w:r w:rsidR="005A60A6">
              <w:rPr>
                <w:rFonts w:ascii="Arial Narrow" w:hAnsi="Arial Narrow"/>
                <w:sz w:val="20"/>
                <w:szCs w:val="20"/>
              </w:rPr>
              <w:t>u</w:t>
            </w:r>
            <w:r w:rsidR="005A60A6">
              <w:rPr>
                <w:rFonts w:ascii="Arial Narrow" w:hAnsi="Arial Narrow"/>
                <w:sz w:val="20"/>
                <w:szCs w:val="20"/>
              </w:rPr>
              <w:t>seum, Comic, Historikertext</w:t>
            </w:r>
          </w:p>
        </w:tc>
      </w:tr>
      <w:tr w:rsidR="009F0D13" w:rsidRPr="00F06012" w14:paraId="0C7FD5A4" w14:textId="77777777" w:rsidTr="00550D4F">
        <w:trPr>
          <w:trHeight w:val="1823"/>
        </w:trPr>
        <w:tc>
          <w:tcPr>
            <w:tcW w:w="2552" w:type="dxa"/>
            <w:vMerge/>
            <w:vAlign w:val="center"/>
          </w:tcPr>
          <w:p w14:paraId="48F63761" w14:textId="77777777" w:rsidR="009F0D13" w:rsidRPr="00F06012" w:rsidRDefault="009F0D13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28B755E9" w14:textId="77777777" w:rsidR="009F0D13" w:rsidRPr="002E2FAA" w:rsidRDefault="0046084A" w:rsidP="00F944A2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3. 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Voraussetzungen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und Triebkräfte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der Dekolon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i</w:t>
            </w:r>
            <w:r w:rsidR="009F0D13"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sation</w:t>
            </w:r>
          </w:p>
          <w:p w14:paraId="1C67A509" w14:textId="77777777" w:rsidR="009519EB" w:rsidRDefault="009F0D13" w:rsidP="00F944A2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äußere und innere Faktoren in Quellen und DT </w:t>
            </w:r>
          </w:p>
          <w:p w14:paraId="4F33187E" w14:textId="77777777" w:rsidR="009F0D13" w:rsidRDefault="009519EB" w:rsidP="00195B99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Entwicklung eines Erklärungsmodells</w:t>
            </w:r>
          </w:p>
          <w:p w14:paraId="763F8BE3" w14:textId="77777777" w:rsidR="009F0D13" w:rsidRPr="00F944A2" w:rsidRDefault="009F0D13" w:rsidP="00550D4F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519EB">
              <w:rPr>
                <w:rFonts w:ascii="Arial Narrow" w:hAnsi="Arial Narrow"/>
                <w:sz w:val="20"/>
                <w:szCs w:val="20"/>
              </w:rPr>
              <w:t xml:space="preserve">Abgleich mit </w:t>
            </w:r>
            <w:r>
              <w:rPr>
                <w:rFonts w:ascii="Arial Narrow" w:hAnsi="Arial Narrow"/>
                <w:sz w:val="20"/>
                <w:szCs w:val="20"/>
              </w:rPr>
              <w:t xml:space="preserve"> Historike</w:t>
            </w:r>
            <w:r w:rsidR="009519EB">
              <w:rPr>
                <w:rFonts w:ascii="Arial Narrow" w:hAnsi="Arial Narrow"/>
                <w:sz w:val="20"/>
                <w:szCs w:val="20"/>
              </w:rPr>
              <w:t>r-Vorschlägen</w:t>
            </w:r>
          </w:p>
        </w:tc>
        <w:tc>
          <w:tcPr>
            <w:tcW w:w="4241" w:type="dxa"/>
          </w:tcPr>
          <w:p w14:paraId="7EE675CD" w14:textId="77777777" w:rsidR="009F0D13" w:rsidRDefault="009F0D13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6A4240DE" w14:textId="77777777" w:rsidR="009F0D13" w:rsidRDefault="009F0D13" w:rsidP="005368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ABF672F" w14:textId="77777777" w:rsidR="009F0D13" w:rsidRDefault="009F0D13" w:rsidP="002E2FA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E62414" w14:textId="77777777" w:rsidR="009F0D13" w:rsidRPr="00F06012" w:rsidRDefault="009F0D13" w:rsidP="00550D4F">
            <w:pPr>
              <w:spacing w:after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Darstellung der Voraussetzungen und Triebkräfte in afrikanischen Schulbüchern</w:t>
            </w:r>
          </w:p>
        </w:tc>
        <w:tc>
          <w:tcPr>
            <w:tcW w:w="3119" w:type="dxa"/>
          </w:tcPr>
          <w:p w14:paraId="77030155" w14:textId="77777777" w:rsidR="009F0D13" w:rsidRPr="00F944A2" w:rsidRDefault="00561296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Reflexionskompetenz</w:t>
            </w:r>
          </w:p>
          <w:p w14:paraId="495713A3" w14:textId="77777777" w:rsidR="009F0D13" w:rsidRDefault="009F0D13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1296">
              <w:rPr>
                <w:rFonts w:ascii="Arial Narrow" w:hAnsi="Arial Narrow"/>
                <w:sz w:val="20"/>
                <w:szCs w:val="20"/>
              </w:rPr>
              <w:t xml:space="preserve">Historische Zäsuren als Frage der Perspektive: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Pankaj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Mishra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über die Seeschlacht von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Tsushima</w:t>
            </w:r>
            <w:proofErr w:type="spellEnd"/>
          </w:p>
          <w:p w14:paraId="2C993480" w14:textId="77777777" w:rsidR="009F0D13" w:rsidRPr="00550D4F" w:rsidRDefault="009F0D13" w:rsidP="00550D4F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Quellensammlung zu den Triebkräften</w:t>
            </w:r>
          </w:p>
        </w:tc>
      </w:tr>
      <w:tr w:rsidR="00501295" w:rsidRPr="00F06012" w14:paraId="61FC01CA" w14:textId="77777777" w:rsidTr="00550D4F">
        <w:trPr>
          <w:trHeight w:val="2699"/>
        </w:trPr>
        <w:tc>
          <w:tcPr>
            <w:tcW w:w="2552" w:type="dxa"/>
            <w:vAlign w:val="center"/>
          </w:tcPr>
          <w:p w14:paraId="1F339E77" w14:textId="77777777" w:rsidR="00561296" w:rsidRDefault="00501295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3.4.7 (2) Formen der Dekolon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sierung charakterisieren </w:t>
            </w:r>
          </w:p>
          <w:p w14:paraId="1A530350" w14:textId="77777777" w:rsidR="00501295" w:rsidRPr="00F06012" w:rsidRDefault="00501295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(Revolution, Unabhängigkeit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krieg, gewaltloser Widerstand, nationale Befreiungsbewegung, Dekolonisierung „von oben“)</w:t>
            </w:r>
          </w:p>
        </w:tc>
        <w:tc>
          <w:tcPr>
            <w:tcW w:w="4241" w:type="dxa"/>
          </w:tcPr>
          <w:p w14:paraId="7DB2E3DC" w14:textId="77777777" w:rsidR="00501295" w:rsidRDefault="00501295" w:rsidP="00501295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4. </w:t>
            </w:r>
            <w:r w:rsidR="00E41083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Vielgestaltige 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Wege zur Unabhängigkeit</w:t>
            </w:r>
          </w:p>
          <w:p w14:paraId="52DC59EB" w14:textId="77777777" w:rsidR="00501295" w:rsidRDefault="00501295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Der durch die Kolonialmächte vorgegebene Rahmen: „Britischer Weg“ und „Französischer Weg“</w:t>
            </w:r>
          </w:p>
          <w:p w14:paraId="6A7274E5" w14:textId="77777777" w:rsidR="00501295" w:rsidRDefault="00501295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Fallbeispiele im knappen Überblick: Ghana, Kenia, Algerien, Tunesien</w:t>
            </w:r>
          </w:p>
          <w:p w14:paraId="43FB5DF1" w14:textId="77777777" w:rsidR="00284941" w:rsidRDefault="00284941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Systematisierung: Ableitung von Gemeinsamkeiten, bestimmenden Faktoren, „Regeln“</w:t>
            </w:r>
          </w:p>
          <w:p w14:paraId="1D4FBDD8" w14:textId="77777777" w:rsidR="00284941" w:rsidRPr="00550D4F" w:rsidRDefault="00284941" w:rsidP="00550D4F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Korrelation zwischen Dekolonisation und aktueller Lage?</w:t>
            </w:r>
          </w:p>
        </w:tc>
        <w:tc>
          <w:tcPr>
            <w:tcW w:w="4241" w:type="dxa"/>
          </w:tcPr>
          <w:p w14:paraId="1732D266" w14:textId="77777777" w:rsidR="00501295" w:rsidRDefault="00501295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13BE5F1C" w14:textId="77777777" w:rsidR="00FE76CD" w:rsidRDefault="00FE76CD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95B99">
              <w:rPr>
                <w:rFonts w:ascii="Arial Narrow" w:hAnsi="Arial Narrow"/>
                <w:sz w:val="20"/>
                <w:szCs w:val="20"/>
              </w:rPr>
              <w:t>Reden</w:t>
            </w:r>
            <w:r>
              <w:rPr>
                <w:rFonts w:ascii="Arial Narrow" w:hAnsi="Arial Narrow"/>
                <w:sz w:val="20"/>
                <w:szCs w:val="20"/>
              </w:rPr>
              <w:t>analyse</w:t>
            </w:r>
            <w:r w:rsidR="00195B99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Charles de Gaulles</w:t>
            </w:r>
            <w:r w:rsidR="00195B99">
              <w:rPr>
                <w:rFonts w:ascii="Arial Narrow" w:hAnsi="Arial Narrow"/>
                <w:sz w:val="20"/>
                <w:szCs w:val="20"/>
              </w:rPr>
              <w:t>, Harold Macmi</w:t>
            </w:r>
            <w:r w:rsidR="00195B99">
              <w:rPr>
                <w:rFonts w:ascii="Arial Narrow" w:hAnsi="Arial Narrow"/>
                <w:sz w:val="20"/>
                <w:szCs w:val="20"/>
              </w:rPr>
              <w:t>l</w:t>
            </w:r>
            <w:r w:rsidR="00195B99">
              <w:rPr>
                <w:rFonts w:ascii="Arial Narrow" w:hAnsi="Arial Narrow"/>
                <w:sz w:val="20"/>
                <w:szCs w:val="20"/>
              </w:rPr>
              <w:t>lan)</w:t>
            </w:r>
          </w:p>
        </w:tc>
        <w:tc>
          <w:tcPr>
            <w:tcW w:w="3119" w:type="dxa"/>
          </w:tcPr>
          <w:p w14:paraId="095376AA" w14:textId="77777777" w:rsidR="00501295" w:rsidRDefault="00501295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000C8" w:rsidRPr="00F06012" w14:paraId="72DF720D" w14:textId="77777777" w:rsidTr="00550D4F">
        <w:trPr>
          <w:trHeight w:val="2114"/>
        </w:trPr>
        <w:tc>
          <w:tcPr>
            <w:tcW w:w="2552" w:type="dxa"/>
            <w:vMerge w:val="restart"/>
            <w:vAlign w:val="center"/>
          </w:tcPr>
          <w:p w14:paraId="1BDD9EC4" w14:textId="77777777" w:rsidR="00A000C8" w:rsidRPr="00F06012" w:rsidRDefault="00A000C8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F06012">
              <w:rPr>
                <w:rFonts w:ascii="Arial Narrow" w:hAnsi="Arial Narrow"/>
                <w:sz w:val="20"/>
                <w:szCs w:val="20"/>
              </w:rPr>
              <w:t>3.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 (3) </w:t>
            </w:r>
            <w:r>
              <w:rPr>
                <w:rFonts w:ascii="Arial Narrow" w:hAnsi="Arial Narrow"/>
                <w:sz w:val="20"/>
                <w:szCs w:val="20"/>
              </w:rPr>
              <w:t>den Dekolonisierung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prozess an einem ausgewäh</w:t>
            </w:r>
            <w:r>
              <w:rPr>
                <w:rFonts w:ascii="Arial Narrow" w:hAnsi="Arial Narrow"/>
                <w:sz w:val="20"/>
                <w:szCs w:val="20"/>
              </w:rPr>
              <w:t>l</w:t>
            </w:r>
            <w:r>
              <w:rPr>
                <w:rFonts w:ascii="Arial Narrow" w:hAnsi="Arial Narrow"/>
                <w:sz w:val="20"/>
                <w:szCs w:val="20"/>
              </w:rPr>
              <w:t xml:space="preserve">ten Raum / </w:t>
            </w:r>
            <w:r w:rsidRPr="006E32EC">
              <w:rPr>
                <w:rFonts w:ascii="Arial Narrow" w:hAnsi="Arial Narrow"/>
                <w:color w:val="C00000"/>
                <w:sz w:val="20"/>
                <w:szCs w:val="20"/>
              </w:rPr>
              <w:t xml:space="preserve">an zwei </w:t>
            </w:r>
            <w:r>
              <w:rPr>
                <w:rFonts w:ascii="Arial Narrow" w:hAnsi="Arial Narrow"/>
                <w:sz w:val="20"/>
                <w:szCs w:val="20"/>
              </w:rPr>
              <w:t>ausgewäh</w:t>
            </w:r>
            <w:r>
              <w:rPr>
                <w:rFonts w:ascii="Arial Narrow" w:hAnsi="Arial Narrow"/>
                <w:sz w:val="20"/>
                <w:szCs w:val="20"/>
              </w:rPr>
              <w:t>l</w:t>
            </w:r>
            <w:r>
              <w:rPr>
                <w:rFonts w:ascii="Arial Narrow" w:hAnsi="Arial Narrow"/>
                <w:sz w:val="20"/>
                <w:szCs w:val="20"/>
              </w:rPr>
              <w:t>ten Räumen (zum Beispiel Israel-Palästina, Südafrika, Indien, Mittlerer Osten, Vie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nam) analysieren und bewerten</w:t>
            </w:r>
          </w:p>
        </w:tc>
        <w:tc>
          <w:tcPr>
            <w:tcW w:w="4241" w:type="dxa"/>
          </w:tcPr>
          <w:p w14:paraId="20208CC3" w14:textId="77777777" w:rsidR="00A000C8" w:rsidRPr="005E5717" w:rsidRDefault="00A000C8" w:rsidP="0015557D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5. Fallbeispiel Indien (1) – Ausgangsbedingungen und Hauptakteure</w:t>
            </w:r>
          </w:p>
          <w:p w14:paraId="1BC4DA3A" w14:textId="77777777" w:rsidR="00A000C8" w:rsidRDefault="00A000C8" w:rsidP="0015557D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Untersuchung der Ausgangsbedingungen in langfri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tiger Perspektive und der Hauptakteure</w:t>
            </w:r>
          </w:p>
          <w:p w14:paraId="69F49E30" w14:textId="77777777" w:rsidR="00A000C8" w:rsidRPr="00550D4F" w:rsidRDefault="00A000C8" w:rsidP="00550D4F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(Erstes) Urteil: „Übertragung der Macht“ oder „Sieg im Freiheitskampf“?</w:t>
            </w:r>
          </w:p>
        </w:tc>
        <w:tc>
          <w:tcPr>
            <w:tcW w:w="4241" w:type="dxa"/>
          </w:tcPr>
          <w:p w14:paraId="68657D56" w14:textId="77777777" w:rsidR="00A000C8" w:rsidRDefault="00A000C8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18864DA5" w14:textId="77777777" w:rsidR="00A000C8" w:rsidRDefault="00A000C8" w:rsidP="005368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5D8104" w14:textId="77777777" w:rsidR="00A000C8" w:rsidRDefault="00A000C8" w:rsidP="003E0A5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  <w:p w14:paraId="652B5AA1" w14:textId="77777777" w:rsidR="00A000C8" w:rsidRDefault="00A000C8" w:rsidP="003E0A5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  <w:p w14:paraId="4B40CD25" w14:textId="77777777" w:rsidR="00A000C8" w:rsidRPr="00F06012" w:rsidRDefault="00A000C8" w:rsidP="00550D4F">
            <w:pPr>
              <w:spacing w:after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Der Widerstand Gandhis, Spielfilm-Analyse</w:t>
            </w:r>
          </w:p>
        </w:tc>
        <w:tc>
          <w:tcPr>
            <w:tcW w:w="3119" w:type="dxa"/>
          </w:tcPr>
          <w:p w14:paraId="100AEB8C" w14:textId="77777777" w:rsidR="00A000C8" w:rsidRPr="00F944A2" w:rsidRDefault="00A000C8" w:rsidP="003E0A53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Gandhi im Spielfilm</w:t>
            </w:r>
          </w:p>
          <w:p w14:paraId="0DFB0AF1" w14:textId="77777777" w:rsidR="00A000C8" w:rsidRPr="00737843" w:rsidRDefault="00A000C8" w:rsidP="00737843">
            <w:pPr>
              <w:spacing w:before="120"/>
              <w:ind w:left="147" w:hanging="147"/>
              <w:rPr>
                <w:rFonts w:ascii="Arial Narrow" w:hAnsi="Arial Narrow"/>
                <w:sz w:val="16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ausführliche Filmanalyse: </w:t>
            </w:r>
            <w:proofErr w:type="spellStart"/>
            <w:r w:rsidRPr="00550D4F">
              <w:rPr>
                <w:rFonts w:ascii="Arial Narrow" w:hAnsi="Arial Narrow"/>
                <w:i/>
                <w:sz w:val="16"/>
                <w:szCs w:val="16"/>
              </w:rPr>
              <w:t>Ammerer</w:t>
            </w:r>
            <w:proofErr w:type="spellEnd"/>
            <w:r w:rsidRPr="00550D4F">
              <w:rPr>
                <w:rFonts w:ascii="Arial Narrow" w:hAnsi="Arial Narrow"/>
                <w:i/>
                <w:sz w:val="16"/>
                <w:szCs w:val="16"/>
              </w:rPr>
              <w:t>, H.: Filmanalyse. Arbeitsblätter für einen komp</w:t>
            </w:r>
            <w:r w:rsidRPr="00550D4F">
              <w:rPr>
                <w:rFonts w:ascii="Arial Narrow" w:hAnsi="Arial Narrow"/>
                <w:i/>
                <w:sz w:val="16"/>
                <w:szCs w:val="16"/>
              </w:rPr>
              <w:t>e</w:t>
            </w:r>
            <w:r w:rsidRPr="00550D4F">
              <w:rPr>
                <w:rFonts w:ascii="Arial Narrow" w:hAnsi="Arial Narrow"/>
                <w:i/>
                <w:sz w:val="16"/>
                <w:szCs w:val="16"/>
              </w:rPr>
              <w:t>tenzorientierten Geschichtsunterricht, Schwa</w:t>
            </w:r>
            <w:r w:rsidRPr="00550D4F">
              <w:rPr>
                <w:rFonts w:ascii="Arial Narrow" w:hAnsi="Arial Narrow"/>
                <w:i/>
                <w:sz w:val="16"/>
                <w:szCs w:val="16"/>
              </w:rPr>
              <w:t>l</w:t>
            </w:r>
            <w:r w:rsidRPr="00550D4F">
              <w:rPr>
                <w:rFonts w:ascii="Arial Narrow" w:hAnsi="Arial Narrow"/>
                <w:i/>
                <w:sz w:val="16"/>
                <w:szCs w:val="16"/>
              </w:rPr>
              <w:t>bach/</w:t>
            </w:r>
            <w:proofErr w:type="spellStart"/>
            <w:r w:rsidRPr="00550D4F">
              <w:rPr>
                <w:rFonts w:ascii="Arial Narrow" w:hAnsi="Arial Narrow"/>
                <w:i/>
                <w:sz w:val="16"/>
                <w:szCs w:val="16"/>
              </w:rPr>
              <w:t>Ts</w:t>
            </w:r>
            <w:proofErr w:type="spellEnd"/>
            <w:r w:rsidRPr="00550D4F">
              <w:rPr>
                <w:rFonts w:ascii="Arial Narrow" w:hAnsi="Arial Narrow"/>
                <w:i/>
                <w:sz w:val="16"/>
                <w:szCs w:val="16"/>
              </w:rPr>
              <w:t>. 2016, S. 35-37</w:t>
            </w:r>
          </w:p>
        </w:tc>
      </w:tr>
      <w:tr w:rsidR="00A000C8" w:rsidRPr="00F06012" w14:paraId="5839468F" w14:textId="77777777" w:rsidTr="00055227">
        <w:trPr>
          <w:trHeight w:val="2542"/>
        </w:trPr>
        <w:tc>
          <w:tcPr>
            <w:tcW w:w="2552" w:type="dxa"/>
            <w:vMerge/>
            <w:vAlign w:val="center"/>
          </w:tcPr>
          <w:p w14:paraId="012746E6" w14:textId="77777777" w:rsidR="00A000C8" w:rsidRPr="00F06012" w:rsidRDefault="00A000C8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5AD7A7DD" w14:textId="77777777" w:rsidR="00A000C8" w:rsidRPr="00A000C8" w:rsidRDefault="00A000C8" w:rsidP="001B206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6. Fallbeispiel Indien (2) – Vorgeschichte und Te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i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lung</w:t>
            </w:r>
          </w:p>
          <w:p w14:paraId="1E4FBFFA" w14:textId="77777777" w:rsidR="00A000C8" w:rsidRDefault="00A000C8" w:rsidP="001B2063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Untersuchung der unmittelbaren Vorgeschichte: Zweiter Weltkrieg als Katalysator, Schicksalsjahr 1942</w:t>
            </w:r>
          </w:p>
          <w:p w14:paraId="74848DF8" w14:textId="77777777" w:rsidR="00A000C8" w:rsidRDefault="00A000C8" w:rsidP="001B206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Die „Tragödie der Teilung“</w:t>
            </w:r>
          </w:p>
          <w:p w14:paraId="766652A2" w14:textId="51CEC6DD" w:rsidR="00A000C8" w:rsidRPr="00F06012" w:rsidRDefault="00A000C8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Urteil: „Übertragung der Macht“ oder „Sieg im Fre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heitskampf“? Diskussion der „Schuld“-Frage?</w:t>
            </w:r>
          </w:p>
        </w:tc>
        <w:tc>
          <w:tcPr>
            <w:tcW w:w="4241" w:type="dxa"/>
          </w:tcPr>
          <w:p w14:paraId="4E7D0FC8" w14:textId="77777777" w:rsidR="00A000C8" w:rsidRDefault="00A000C8" w:rsidP="00B358BE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2ED33A1C" w14:textId="77777777" w:rsidR="00A000C8" w:rsidRDefault="00A000C8" w:rsidP="00B358B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68FE77" w14:textId="77777777" w:rsidR="00A000C8" w:rsidRDefault="00A000C8" w:rsidP="00B358B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EF70135" w14:textId="77777777" w:rsidR="00A000C8" w:rsidRDefault="00A000C8" w:rsidP="00B358B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F63057" w14:textId="77777777" w:rsidR="00A000C8" w:rsidRDefault="00A000C8" w:rsidP="001A4FE0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Das „Kammerspiel“ um die Unabhängigkeit (Rolle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spiel)</w:t>
            </w:r>
          </w:p>
          <w:p w14:paraId="4AE01F90" w14:textId="20124469" w:rsidR="00A000C8" w:rsidRPr="00F06012" w:rsidRDefault="00A000C8" w:rsidP="00055227">
            <w:pPr>
              <w:spacing w:after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Historiker-Texte zur Vertiefung einzelner Aspekte </w:t>
            </w:r>
          </w:p>
        </w:tc>
        <w:tc>
          <w:tcPr>
            <w:tcW w:w="3119" w:type="dxa"/>
          </w:tcPr>
          <w:p w14:paraId="1327A444" w14:textId="77777777" w:rsidR="00A000C8" w:rsidRPr="00F944A2" w:rsidRDefault="00A000C8" w:rsidP="001A4FE0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Methodenkompetenz</w:t>
            </w:r>
          </w:p>
          <w:p w14:paraId="05924A4E" w14:textId="3888A2DB" w:rsidR="00A000C8" w:rsidRPr="00F06012" w:rsidRDefault="00A000C8" w:rsidP="00055227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Jawaharlal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Nehrus Rede: „Verabr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dung mit dem Schicksal“</w:t>
            </w:r>
          </w:p>
        </w:tc>
      </w:tr>
      <w:tr w:rsidR="00A000C8" w:rsidRPr="00F06012" w14:paraId="4BBC481F" w14:textId="77777777" w:rsidTr="00A000C8">
        <w:trPr>
          <w:trHeight w:val="2236"/>
        </w:trPr>
        <w:tc>
          <w:tcPr>
            <w:tcW w:w="2552" w:type="dxa"/>
            <w:vMerge/>
            <w:vAlign w:val="center"/>
          </w:tcPr>
          <w:p w14:paraId="2854CCF1" w14:textId="77777777" w:rsidR="00A000C8" w:rsidRPr="00F06012" w:rsidRDefault="00A000C8" w:rsidP="009F0D1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58471018" w14:textId="77777777" w:rsidR="00A000C8" w:rsidRPr="00A000C8" w:rsidRDefault="00A000C8" w:rsidP="00D84421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7. Fallbeispiel Indien (3) – Bedeutung, Folgen und Erbe</w:t>
            </w:r>
          </w:p>
          <w:p w14:paraId="39413AB1" w14:textId="77777777" w:rsidR="00A000C8" w:rsidRDefault="00A000C8" w:rsidP="006E32EC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Bedeutung und Folgen der Dekolonisierung für Ind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en, Pakistan, Großbritannien bzw. Europa und (a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dere) Kolonien</w:t>
            </w:r>
          </w:p>
          <w:p w14:paraId="3104F3A2" w14:textId="258AA4BC" w:rsidR="00A000C8" w:rsidRPr="00F06012" w:rsidRDefault="00A000C8" w:rsidP="00CF740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 zum Erbe der Dekolonisierung Indiens</w:t>
            </w:r>
          </w:p>
        </w:tc>
        <w:tc>
          <w:tcPr>
            <w:tcW w:w="4241" w:type="dxa"/>
          </w:tcPr>
          <w:p w14:paraId="26035B1B" w14:textId="77777777" w:rsidR="00A000C8" w:rsidRDefault="00A000C8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CAD8B2" w14:textId="77777777" w:rsidR="00A000C8" w:rsidRDefault="00A000C8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E82638" w14:textId="77777777" w:rsidR="00A000C8" w:rsidRDefault="00A000C8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0EE7FE" w14:textId="77777777" w:rsidR="00A000C8" w:rsidRDefault="00A000C8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E6D737" w14:textId="77777777" w:rsidR="00A000C8" w:rsidRDefault="00A000C8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BEDE95" w14:textId="6CDC86F8" w:rsidR="00A000C8" w:rsidRPr="00F06012" w:rsidRDefault="00A000C8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Vergleich Belgisch-Kongo und Indien</w:t>
            </w:r>
          </w:p>
        </w:tc>
        <w:tc>
          <w:tcPr>
            <w:tcW w:w="3119" w:type="dxa"/>
          </w:tcPr>
          <w:p w14:paraId="746DD2EB" w14:textId="52DE9710" w:rsidR="00A000C8" w:rsidRPr="00F944A2" w:rsidRDefault="00A000C8" w:rsidP="008E1BC7">
            <w:pPr>
              <w:spacing w:before="120" w:after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Geburtsstunde der „Dritten Welt“</w:t>
            </w:r>
            <w:r w:rsidR="00CF7407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4416494" w14:textId="77777777" w:rsidR="00A000C8" w:rsidRPr="00F06012" w:rsidRDefault="00A000C8" w:rsidP="008E1BC7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Die Konferenz von Bandung – bspw.: </w:t>
            </w:r>
            <w:proofErr w:type="spellStart"/>
            <w:r w:rsidRPr="00AD778A">
              <w:rPr>
                <w:rFonts w:ascii="Arial Narrow" w:hAnsi="Arial Narrow"/>
                <w:color w:val="4472C4" w:themeColor="accent1"/>
                <w:sz w:val="16"/>
                <w:szCs w:val="20"/>
              </w:rPr>
              <w:t>Histoire</w:t>
            </w:r>
            <w:proofErr w:type="spellEnd"/>
            <w:r w:rsidRPr="00AD778A">
              <w:rPr>
                <w:rFonts w:ascii="Arial Narrow" w:hAnsi="Arial Narrow"/>
                <w:color w:val="4472C4" w:themeColor="accent1"/>
                <w:sz w:val="16"/>
                <w:szCs w:val="20"/>
              </w:rPr>
              <w:t xml:space="preserve"> / Geschichte. Europa und die Welt seit 1945, Leipzig 2006, S. 88f.</w:t>
            </w:r>
          </w:p>
        </w:tc>
      </w:tr>
      <w:tr w:rsidR="00A000C8" w:rsidRPr="00F06012" w14:paraId="18BA98D1" w14:textId="77777777" w:rsidTr="00A000C8">
        <w:trPr>
          <w:trHeight w:val="1970"/>
        </w:trPr>
        <w:tc>
          <w:tcPr>
            <w:tcW w:w="2552" w:type="dxa"/>
            <w:vMerge/>
            <w:vAlign w:val="center"/>
          </w:tcPr>
          <w:p w14:paraId="1127BC9C" w14:textId="77777777" w:rsidR="00A000C8" w:rsidRPr="00F06012" w:rsidRDefault="00A000C8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3C7B5D00" w14:textId="77777777" w:rsidR="00A000C8" w:rsidRPr="00F06012" w:rsidRDefault="00A000C8" w:rsidP="007F224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63ABA8E8" w14:textId="77777777" w:rsidR="00A000C8" w:rsidRDefault="00A000C8" w:rsidP="006E32EC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Weitere Fallbeispiele, z. B. Vietnam, Algerien, Sü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d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afrika, Israel-Palästina</w:t>
            </w:r>
          </w:p>
          <w:p w14:paraId="4B7BB94D" w14:textId="500293DD" w:rsidR="00A000C8" w:rsidRPr="006D472C" w:rsidRDefault="00A000C8" w:rsidP="00A000C8">
            <w:pPr>
              <w:spacing w:before="120"/>
              <w:ind w:left="147" w:hanging="147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arbeitsteilige Untersuchung weiterer Fallbeispiele mit Hilfe des Analyserasters </w:t>
            </w:r>
            <w:r w:rsidR="00CF7407" w:rsidRPr="00CF7407">
              <w:rPr>
                <w:rFonts w:ascii="Arial Narrow" w:hAnsi="Arial Narrow"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F7407">
              <w:rPr>
                <w:rFonts w:ascii="Arial Narrow" w:hAnsi="Arial Narrow"/>
                <w:color w:val="4472C4" w:themeColor="accent1"/>
                <w:sz w:val="20"/>
                <w:szCs w:val="20"/>
              </w:rPr>
              <w:t>dekolonisi</w:t>
            </w:r>
            <w:r w:rsidR="00CF7407">
              <w:rPr>
                <w:rFonts w:ascii="Arial Narrow" w:hAnsi="Arial Narrow"/>
                <w:color w:val="4472C4" w:themeColor="accent1"/>
                <w:sz w:val="20"/>
                <w:szCs w:val="20"/>
              </w:rPr>
              <w:t>e</w:t>
            </w:r>
            <w:r w:rsidR="00CF7407">
              <w:rPr>
                <w:rFonts w:ascii="Arial Narrow" w:hAnsi="Arial Narrow"/>
                <w:color w:val="4472C4" w:themeColor="accent1"/>
                <w:sz w:val="20"/>
                <w:szCs w:val="20"/>
              </w:rPr>
              <w:t>rung_analysemodell</w:t>
            </w:r>
            <w:proofErr w:type="spellEnd"/>
            <w:r w:rsidR="00CF7407" w:rsidRPr="00CF7407">
              <w:rPr>
                <w:rFonts w:ascii="Arial Narrow" w:hAnsi="Arial Narrow"/>
                <w:color w:val="000000" w:themeColor="text1"/>
                <w:sz w:val="20"/>
                <w:szCs w:val="20"/>
              </w:rPr>
              <w:t>, eingeführt in Stunde 2)</w:t>
            </w:r>
          </w:p>
          <w:p w14:paraId="6480A3D3" w14:textId="77777777" w:rsidR="00A000C8" w:rsidRDefault="00A000C8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Materialpool aus (älteren und aktuellen) Schulb</w:t>
            </w:r>
            <w:r>
              <w:rPr>
                <w:rFonts w:ascii="Arial Narrow" w:hAnsi="Arial Narrow"/>
                <w:sz w:val="20"/>
                <w:szCs w:val="20"/>
              </w:rPr>
              <w:t>ü</w:t>
            </w:r>
            <w:r>
              <w:rPr>
                <w:rFonts w:ascii="Arial Narrow" w:hAnsi="Arial Narrow"/>
                <w:sz w:val="20"/>
                <w:szCs w:val="20"/>
              </w:rPr>
              <w:t>chern bzw. eigenständige Internet-Recherche</w:t>
            </w:r>
          </w:p>
          <w:p w14:paraId="3619C239" w14:textId="77777777" w:rsidR="006D472C" w:rsidRDefault="006D472C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bspw. als Projektarbeit mit eigenständiger Sicherung und Präsentation</w:t>
            </w:r>
          </w:p>
          <w:p w14:paraId="153CE61E" w14:textId="0DEF5EAE" w:rsidR="006D472C" w:rsidRDefault="006D472C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Vergleich der Fallbeispiele (auch der</w:t>
            </w:r>
            <w:r w:rsidR="00CF7407">
              <w:rPr>
                <w:rFonts w:ascii="Arial Narrow" w:hAnsi="Arial Narrow"/>
                <w:sz w:val="20"/>
                <w:szCs w:val="20"/>
              </w:rPr>
              <w:t xml:space="preserve"> vorher</w:t>
            </w:r>
            <w:r>
              <w:rPr>
                <w:rFonts w:ascii="Arial Narrow" w:hAnsi="Arial Narrow"/>
                <w:sz w:val="20"/>
                <w:szCs w:val="20"/>
              </w:rPr>
              <w:t xml:space="preserve"> im U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terricht besprochenen), Ableitung von „Regeln“ bzw. vorsic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>
              <w:rPr>
                <w:rFonts w:ascii="Arial Narrow" w:hAnsi="Arial Narrow"/>
                <w:sz w:val="20"/>
                <w:szCs w:val="20"/>
              </w:rPr>
              <w:t>tigen Verallgemeinerungen</w:t>
            </w:r>
          </w:p>
          <w:p w14:paraId="5C54C578" w14:textId="77777777" w:rsidR="006D472C" w:rsidRPr="006D472C" w:rsidRDefault="006D472C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B286BC1" w14:textId="77777777" w:rsidR="00A000C8" w:rsidRPr="00F06012" w:rsidRDefault="00A000C8" w:rsidP="00AD778A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7407" w:rsidRPr="00F06012" w14:paraId="658E0A78" w14:textId="77777777" w:rsidTr="00A000C8">
        <w:trPr>
          <w:trHeight w:val="1970"/>
        </w:trPr>
        <w:tc>
          <w:tcPr>
            <w:tcW w:w="2552" w:type="dxa"/>
            <w:vMerge w:val="restart"/>
            <w:vAlign w:val="center"/>
          </w:tcPr>
          <w:p w14:paraId="49854B43" w14:textId="0900C9EE" w:rsidR="00CF7407" w:rsidRPr="00F06012" w:rsidRDefault="00CF7407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F06012">
              <w:rPr>
                <w:rFonts w:ascii="Arial Narrow" w:hAnsi="Arial Narrow"/>
                <w:sz w:val="20"/>
                <w:szCs w:val="20"/>
              </w:rPr>
              <w:t>3.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) </w:t>
            </w:r>
            <w:r>
              <w:rPr>
                <w:rFonts w:ascii="Arial Narrow" w:hAnsi="Arial Narrow"/>
                <w:sz w:val="20"/>
                <w:szCs w:val="20"/>
              </w:rPr>
              <w:t>aktuelle Probleme vor dem Hintergrund von Koloni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lismus und Dekolonisierung erörtern (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>zum Beispiel Neok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>o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>lonialismus, Islamismus, ethn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>o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 xml:space="preserve">politischer Konflikt, </w:t>
            </w:r>
            <w:proofErr w:type="spellStart"/>
            <w:r w:rsidRPr="00324A8C">
              <w:rPr>
                <w:rFonts w:ascii="Arial Narrow" w:hAnsi="Arial Narrow"/>
                <w:i/>
                <w:sz w:val="20"/>
                <w:szCs w:val="20"/>
              </w:rPr>
              <w:t>failed</w:t>
            </w:r>
            <w:proofErr w:type="spellEnd"/>
            <w:r w:rsidRPr="00324A8C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Pr="00324A8C">
              <w:rPr>
                <w:rFonts w:ascii="Arial Narrow" w:hAnsi="Arial Narrow"/>
                <w:i/>
                <w:sz w:val="20"/>
                <w:szCs w:val="20"/>
              </w:rPr>
              <w:t>state</w:t>
            </w:r>
            <w:proofErr w:type="spellEnd"/>
            <w:r w:rsidRPr="00324A8C">
              <w:rPr>
                <w:rFonts w:ascii="Arial Narrow" w:hAnsi="Arial Narrow"/>
                <w:i/>
                <w:sz w:val="20"/>
                <w:szCs w:val="20"/>
              </w:rPr>
              <w:t>, „11. September“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4241" w:type="dxa"/>
          </w:tcPr>
          <w:p w14:paraId="19A5322B" w14:textId="77777777" w:rsidR="00CF7407" w:rsidRPr="00F06012" w:rsidRDefault="00CF7407" w:rsidP="007F224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71825384" w14:textId="77777777" w:rsidR="00CF7407" w:rsidRDefault="00CF7407" w:rsidP="008A1C4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Postkoloniale Erinnerungskulturen</w:t>
            </w:r>
          </w:p>
          <w:p w14:paraId="2FCADC20" w14:textId="77777777" w:rsidR="00CF7407" w:rsidRPr="006D472C" w:rsidRDefault="00CF7407" w:rsidP="008A1C43">
            <w:pPr>
              <w:spacing w:before="120"/>
              <w:ind w:left="147" w:hanging="147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erinnerungskultureller Umgang ehemaliger Kolonia</w:t>
            </w:r>
            <w:r>
              <w:rPr>
                <w:rFonts w:ascii="Arial Narrow" w:hAnsi="Arial Narrow"/>
                <w:sz w:val="20"/>
                <w:szCs w:val="20"/>
              </w:rPr>
              <w:t>l</w:t>
            </w:r>
            <w:r>
              <w:rPr>
                <w:rFonts w:ascii="Arial Narrow" w:hAnsi="Arial Narrow"/>
                <w:sz w:val="20"/>
                <w:szCs w:val="20"/>
              </w:rPr>
              <w:t>mächte mit ihrer kolonialen Vergangenheit (Auswahl entsprechend der untersuchten Fallbeispiele)</w:t>
            </w:r>
          </w:p>
          <w:p w14:paraId="146B8421" w14:textId="77777777" w:rsidR="00CF7407" w:rsidRDefault="00CF7407" w:rsidP="00240C94">
            <w:pPr>
              <w:ind w:left="147" w:hanging="147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Vergleich mit dem erinnerungskulturellen bzw. g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schichtspolitischen Umgang Deutschlands mit seiner kolonialen Vergangenheit</w:t>
            </w:r>
          </w:p>
        </w:tc>
        <w:tc>
          <w:tcPr>
            <w:tcW w:w="3119" w:type="dxa"/>
          </w:tcPr>
          <w:p w14:paraId="7BB8AAEB" w14:textId="469642BB" w:rsidR="00CF7407" w:rsidRDefault="00CF7407" w:rsidP="00AD778A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Lit.tipps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(s.u.):</w:t>
            </w:r>
          </w:p>
          <w:p w14:paraId="7681FDC4" w14:textId="77777777" w:rsidR="00CF7407" w:rsidRDefault="00CF7407" w:rsidP="00F654D5">
            <w:pPr>
              <w:pStyle w:val="Listenabsatz"/>
              <w:ind w:left="0"/>
              <w:rPr>
                <w:rFonts w:ascii="Arial Narrow" w:hAnsi="Arial Narrow" w:cstheme="minorHAnsi"/>
                <w:color w:val="4472C4" w:themeColor="accent1"/>
                <w:sz w:val="16"/>
              </w:rPr>
            </w:pPr>
          </w:p>
          <w:p w14:paraId="73F146E7" w14:textId="1455604E" w:rsidR="00CF7407" w:rsidRDefault="00CF7407" w:rsidP="00F654D5">
            <w:pPr>
              <w:pStyle w:val="Listenabsatz"/>
              <w:ind w:left="0"/>
              <w:rPr>
                <w:rFonts w:ascii="Arial Narrow" w:hAnsi="Arial Narrow" w:cstheme="minorHAnsi"/>
                <w:color w:val="4472C4" w:themeColor="accent1"/>
                <w:sz w:val="16"/>
              </w:rPr>
            </w:pPr>
            <w:proofErr w:type="spellStart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>Fenske</w:t>
            </w:r>
            <w:proofErr w:type="spellEnd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>, U.</w:t>
            </w:r>
            <w:r>
              <w:rPr>
                <w:rFonts w:ascii="Arial Narrow" w:hAnsi="Arial Narrow" w:cstheme="minorHAnsi"/>
                <w:color w:val="4472C4" w:themeColor="accent1"/>
                <w:sz w:val="16"/>
              </w:rPr>
              <w:t>,</w:t>
            </w:r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 xml:space="preserve"> u.a. </w:t>
            </w:r>
            <w:r>
              <w:rPr>
                <w:rFonts w:ascii="Arial Narrow" w:hAnsi="Arial Narrow" w:cstheme="minorHAnsi"/>
                <w:color w:val="4472C4" w:themeColor="accent1"/>
                <w:sz w:val="16"/>
              </w:rPr>
              <w:t>(2015)</w:t>
            </w:r>
          </w:p>
          <w:p w14:paraId="0A3A121E" w14:textId="77777777" w:rsidR="00CF7407" w:rsidRDefault="00CF7407" w:rsidP="00F654D5">
            <w:pPr>
              <w:pStyle w:val="Listenabsatz"/>
              <w:ind w:left="0"/>
              <w:rPr>
                <w:rFonts w:ascii="Arial Narrow" w:hAnsi="Arial Narrow" w:cstheme="minorHAnsi"/>
                <w:color w:val="4472C4" w:themeColor="accent1"/>
                <w:sz w:val="16"/>
              </w:rPr>
            </w:pPr>
          </w:p>
          <w:p w14:paraId="70D5C8A9" w14:textId="77777777" w:rsidR="00CF7407" w:rsidRPr="00F654D5" w:rsidRDefault="00CF7407" w:rsidP="00F654D5">
            <w:pPr>
              <w:pStyle w:val="Listenabsatz"/>
              <w:ind w:left="0"/>
              <w:rPr>
                <w:rFonts w:ascii="Arial Narrow" w:hAnsi="Arial Narrow" w:cstheme="minorHAnsi"/>
                <w:color w:val="4472C4" w:themeColor="accent1"/>
                <w:sz w:val="16"/>
              </w:rPr>
            </w:pPr>
            <w:proofErr w:type="spellStart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>IpB</w:t>
            </w:r>
            <w:proofErr w:type="spellEnd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 xml:space="preserve"> 338/2018</w:t>
            </w:r>
            <w:r>
              <w:rPr>
                <w:rFonts w:ascii="Arial Narrow" w:hAnsi="Arial Narrow" w:cstheme="minorHAnsi"/>
                <w:color w:val="4472C4" w:themeColor="accent1"/>
                <w:sz w:val="16"/>
              </w:rPr>
              <w:t xml:space="preserve"> </w:t>
            </w:r>
          </w:p>
          <w:p w14:paraId="547FEB56" w14:textId="77777777" w:rsidR="00CF7407" w:rsidRDefault="00CF7407" w:rsidP="00F654D5">
            <w:pPr>
              <w:ind w:left="147" w:hanging="147"/>
              <w:rPr>
                <w:rFonts w:ascii="Arial Narrow" w:hAnsi="Arial Narrow" w:cstheme="minorHAnsi"/>
                <w:color w:val="4472C4" w:themeColor="accent1"/>
                <w:sz w:val="16"/>
              </w:rPr>
            </w:pPr>
          </w:p>
          <w:p w14:paraId="4A742A78" w14:textId="77777777" w:rsidR="00CF7407" w:rsidRPr="00F06012" w:rsidRDefault="00CF7407" w:rsidP="00F654D5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>APuZ</w:t>
            </w:r>
            <w:proofErr w:type="spellEnd"/>
            <w:r w:rsidRPr="00F654D5">
              <w:rPr>
                <w:rFonts w:ascii="Arial Narrow" w:hAnsi="Arial Narrow" w:cstheme="minorHAnsi"/>
                <w:color w:val="4472C4" w:themeColor="accent1"/>
                <w:sz w:val="16"/>
              </w:rPr>
              <w:t xml:space="preserve"> 40-42/2019</w:t>
            </w:r>
          </w:p>
        </w:tc>
      </w:tr>
      <w:tr w:rsidR="00CF7407" w:rsidRPr="00F06012" w14:paraId="32E85F80" w14:textId="77777777" w:rsidTr="00CF7407">
        <w:trPr>
          <w:trHeight w:val="2522"/>
        </w:trPr>
        <w:tc>
          <w:tcPr>
            <w:tcW w:w="2552" w:type="dxa"/>
            <w:vMerge/>
            <w:vAlign w:val="center"/>
          </w:tcPr>
          <w:p w14:paraId="1534855F" w14:textId="121349BE" w:rsidR="00CF7407" w:rsidRPr="00F06012" w:rsidRDefault="00CF7407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1" w:type="dxa"/>
          </w:tcPr>
          <w:p w14:paraId="1AED56F2" w14:textId="77777777" w:rsidR="00CF7407" w:rsidRPr="00A000C8" w:rsidRDefault="00CF7407" w:rsidP="00324A8C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8. Nach der Dekolonisation – Nach- oder neokol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o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niale Weltordnung?</w:t>
            </w:r>
          </w:p>
          <w:p w14:paraId="1E2D35B1" w14:textId="77777777" w:rsidR="00CF7407" w:rsidRDefault="00CF7407" w:rsidP="00324A8C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Begriff und Kriterien für „Neokolonialismus“</w:t>
            </w:r>
          </w:p>
          <w:p w14:paraId="47718E7C" w14:textId="77777777" w:rsidR="00CF7407" w:rsidRDefault="00CF7407" w:rsidP="00324A8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Gruppenpuzzle zu den Themenbereichen Weltwir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 xml:space="preserve">schaft, Land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grabbing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Entwicklungshilfe</w:t>
            </w:r>
          </w:p>
          <w:p w14:paraId="7D62A75C" w14:textId="16D0ECDD" w:rsidR="00CF7407" w:rsidRPr="00F06012" w:rsidRDefault="00CF7407" w:rsidP="00CF740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 zur übergeordneten Fragestellung nach der Verantwortung von Kolonialismus und Dekolonisi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rung für Problemstellungen der Gegenwart</w:t>
            </w:r>
          </w:p>
        </w:tc>
        <w:tc>
          <w:tcPr>
            <w:tcW w:w="4241" w:type="dxa"/>
          </w:tcPr>
          <w:p w14:paraId="4CBB7ED0" w14:textId="77777777" w:rsidR="00CF7407" w:rsidRPr="00F06012" w:rsidRDefault="00CF7407" w:rsidP="002247E2">
            <w:pPr>
              <w:spacing w:after="240"/>
              <w:ind w:left="153" w:hanging="15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FCDE48" w14:textId="77777777" w:rsidR="00CF7407" w:rsidRPr="00F06012" w:rsidRDefault="00CF7407" w:rsidP="007F2241">
            <w:pPr>
              <w:ind w:left="154" w:hanging="15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</w:tbl>
    <w:p w14:paraId="17A48832" w14:textId="77777777" w:rsidR="002B74CC" w:rsidRDefault="002B74CC"/>
    <w:p w14:paraId="1E099FB6" w14:textId="77777777" w:rsidR="00F01299" w:rsidRPr="009D79F8" w:rsidRDefault="00F654D5" w:rsidP="009D79F8">
      <w:pPr>
        <w:spacing w:after="120"/>
        <w:rPr>
          <w:rFonts w:ascii="Arial Narrow" w:hAnsi="Arial Narrow"/>
          <w:b/>
        </w:rPr>
      </w:pPr>
      <w:r w:rsidRPr="00F01299">
        <w:rPr>
          <w:rFonts w:ascii="Arial Narrow" w:hAnsi="Arial Narrow"/>
          <w:b/>
        </w:rPr>
        <w:t>Literatur</w:t>
      </w:r>
      <w:r w:rsidR="00F01299" w:rsidRPr="00F01299">
        <w:rPr>
          <w:rFonts w:ascii="Arial Narrow" w:hAnsi="Arial Narrow"/>
          <w:b/>
        </w:rPr>
        <w:t xml:space="preserve"> in Auswahl</w:t>
      </w:r>
      <w:r w:rsidRPr="00F01299">
        <w:rPr>
          <w:rFonts w:ascii="Arial Narrow" w:hAnsi="Arial Narrow"/>
          <w:b/>
        </w:rPr>
        <w:t>:</w:t>
      </w:r>
    </w:p>
    <w:p w14:paraId="7240CFC6" w14:textId="77777777" w:rsidR="00F654D5" w:rsidRPr="00F01299" w:rsidRDefault="001A72DF" w:rsidP="009D79F8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Übergreifende Darstellungen</w:t>
      </w:r>
    </w:p>
    <w:p w14:paraId="3B6FC3C9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APuZ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44-45/2012: Kolonialismus</w:t>
      </w:r>
    </w:p>
    <w:p w14:paraId="49B6BC60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APuZ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40-42/2019: Deutsche Kolonialgeschichte</w:t>
      </w:r>
    </w:p>
    <w:p w14:paraId="02659E39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Darwin, J.: Der imperiale Traum. Die Globalgeschichte großer Reiche 1400-2000, Frankfurt a. M. 2010</w:t>
      </w:r>
    </w:p>
    <w:p w14:paraId="0F73A10A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IpB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338/2018: Europa zwischen Kolonialismus und Dekolonisierung </w:t>
      </w:r>
    </w:p>
    <w:p w14:paraId="61F5B62E" w14:textId="77777777" w:rsidR="00F654D5" w:rsidRPr="001A72DF" w:rsidRDefault="00F654D5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Jansen, C. J. / Osterhammel, J.: Dekolonisation. Das Ende der Imperien, München 2013</w:t>
      </w:r>
    </w:p>
    <w:p w14:paraId="2A5AE05F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Osterhammel, J. / Jansen, J. C.: Kolonialismus. Geschichte, Formen, Folgen, München </w:t>
      </w:r>
      <w:r w:rsidRPr="001A72DF">
        <w:rPr>
          <w:rFonts w:ascii="Arial Narrow" w:hAnsi="Arial Narrow"/>
          <w:sz w:val="20"/>
          <w:szCs w:val="20"/>
          <w:vertAlign w:val="superscript"/>
        </w:rPr>
        <w:t>7</w:t>
      </w:r>
      <w:r w:rsidRPr="001A72DF">
        <w:rPr>
          <w:rFonts w:ascii="Arial Narrow" w:hAnsi="Arial Narrow"/>
          <w:sz w:val="20"/>
          <w:szCs w:val="20"/>
        </w:rPr>
        <w:t>2012</w:t>
      </w:r>
    </w:p>
    <w:p w14:paraId="7B5E784C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Reinhard, W.: Die Unterwerfung der </w:t>
      </w:r>
      <w:r w:rsidR="001A72DF" w:rsidRPr="001A72DF">
        <w:rPr>
          <w:rFonts w:ascii="Arial Narrow" w:hAnsi="Arial Narrow"/>
          <w:sz w:val="20"/>
          <w:szCs w:val="20"/>
        </w:rPr>
        <w:t>W</w:t>
      </w:r>
      <w:r w:rsidRPr="001A72DF">
        <w:rPr>
          <w:rFonts w:ascii="Arial Narrow" w:hAnsi="Arial Narrow"/>
          <w:sz w:val="20"/>
          <w:szCs w:val="20"/>
        </w:rPr>
        <w:t xml:space="preserve">elt. Globalgeschichte der europäischen Expansion. 1415-2015, München </w:t>
      </w:r>
      <w:r w:rsidRPr="001A72DF">
        <w:rPr>
          <w:rFonts w:ascii="Arial Narrow" w:hAnsi="Arial Narrow"/>
          <w:sz w:val="20"/>
          <w:szCs w:val="20"/>
          <w:vertAlign w:val="superscript"/>
        </w:rPr>
        <w:t>4</w:t>
      </w:r>
      <w:r w:rsidRPr="001A72DF">
        <w:rPr>
          <w:rFonts w:ascii="Arial Narrow" w:hAnsi="Arial Narrow"/>
          <w:sz w:val="20"/>
          <w:szCs w:val="20"/>
        </w:rPr>
        <w:t>2018</w:t>
      </w:r>
    </w:p>
    <w:p w14:paraId="7239E900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  <w:lang w:val="en-US"/>
        </w:rPr>
      </w:pPr>
      <w:proofErr w:type="spellStart"/>
      <w:r w:rsidRPr="001A72DF">
        <w:rPr>
          <w:rFonts w:ascii="Arial Narrow" w:hAnsi="Arial Narrow"/>
          <w:sz w:val="20"/>
          <w:szCs w:val="20"/>
          <w:lang w:val="en-US"/>
        </w:rPr>
        <w:t>Rothermund</w:t>
      </w:r>
      <w:proofErr w:type="spellEnd"/>
      <w:r w:rsidRPr="001A72DF">
        <w:rPr>
          <w:rFonts w:ascii="Arial Narrow" w:hAnsi="Arial Narrow"/>
          <w:sz w:val="20"/>
          <w:szCs w:val="20"/>
          <w:lang w:val="en-US"/>
        </w:rPr>
        <w:t xml:space="preserve">, D.: The </w:t>
      </w:r>
      <w:proofErr w:type="spellStart"/>
      <w:r w:rsidRPr="001A72DF">
        <w:rPr>
          <w:rFonts w:ascii="Arial Narrow" w:hAnsi="Arial Narrow"/>
          <w:sz w:val="20"/>
          <w:szCs w:val="20"/>
          <w:lang w:val="en-US"/>
        </w:rPr>
        <w:t>Routledge</w:t>
      </w:r>
      <w:proofErr w:type="spellEnd"/>
      <w:r w:rsidRPr="001A72DF">
        <w:rPr>
          <w:rFonts w:ascii="Arial Narrow" w:hAnsi="Arial Narrow"/>
          <w:sz w:val="20"/>
          <w:szCs w:val="20"/>
          <w:lang w:val="en-US"/>
        </w:rPr>
        <w:t xml:space="preserve"> Companion to Decolonization, London 2006</w:t>
      </w:r>
    </w:p>
    <w:p w14:paraId="32ACACB2" w14:textId="77777777" w:rsidR="00F01299" w:rsidRPr="001A72DF" w:rsidRDefault="009D79F8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Ders</w:t>
      </w:r>
      <w:proofErr w:type="spellEnd"/>
      <w:r>
        <w:rPr>
          <w:rFonts w:ascii="Arial Narrow" w:hAnsi="Arial Narrow"/>
          <w:sz w:val="20"/>
          <w:szCs w:val="20"/>
        </w:rPr>
        <w:t>.</w:t>
      </w:r>
      <w:r w:rsidR="00F01299" w:rsidRPr="001A72DF">
        <w:rPr>
          <w:rFonts w:ascii="Arial Narrow" w:hAnsi="Arial Narrow"/>
          <w:sz w:val="20"/>
          <w:szCs w:val="20"/>
        </w:rPr>
        <w:t xml:space="preserve">: </w:t>
      </w:r>
      <w:r w:rsidR="00F01299" w:rsidRPr="001A72DF">
        <w:rPr>
          <w:rFonts w:ascii="Arial Narrow" w:hAnsi="Arial Narrow"/>
          <w:color w:val="000000" w:themeColor="text1"/>
          <w:sz w:val="20"/>
          <w:szCs w:val="20"/>
        </w:rPr>
        <w:t>Delhi, 15. August 1947. Das Ende kolonialer Herrschaft, München 1998</w:t>
      </w:r>
    </w:p>
    <w:p w14:paraId="256A00B5" w14:textId="77777777" w:rsidR="001A72DF" w:rsidRPr="001A72DF" w:rsidRDefault="001A72DF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Wendt, R.: Vom Kolonialismus zur Globalisierung. Europa und die Welt seit 1500, Paderborn </w:t>
      </w:r>
      <w:r w:rsidRPr="001A72DF">
        <w:rPr>
          <w:rFonts w:ascii="Arial Narrow" w:hAnsi="Arial Narrow"/>
          <w:sz w:val="20"/>
          <w:szCs w:val="20"/>
          <w:vertAlign w:val="superscript"/>
        </w:rPr>
        <w:t>2</w:t>
      </w:r>
      <w:r w:rsidRPr="001A72DF">
        <w:rPr>
          <w:rFonts w:ascii="Arial Narrow" w:hAnsi="Arial Narrow"/>
          <w:sz w:val="20"/>
          <w:szCs w:val="20"/>
        </w:rPr>
        <w:t>2016</w:t>
      </w:r>
    </w:p>
    <w:p w14:paraId="6EA9E3A3" w14:textId="77777777" w:rsidR="00F01299" w:rsidRDefault="00F01299">
      <w:pPr>
        <w:rPr>
          <w:rFonts w:ascii="Arial Narrow" w:hAnsi="Arial Narrow"/>
          <w:sz w:val="20"/>
          <w:szCs w:val="20"/>
        </w:rPr>
      </w:pPr>
    </w:p>
    <w:p w14:paraId="068ED3C9" w14:textId="77777777" w:rsidR="001A72DF" w:rsidRPr="001A72DF" w:rsidRDefault="001A72DF" w:rsidP="009D79F8">
      <w:pPr>
        <w:spacing w:after="120"/>
        <w:rPr>
          <w:rFonts w:ascii="Arial Narrow" w:hAnsi="Arial Narrow"/>
          <w:sz w:val="22"/>
          <w:szCs w:val="20"/>
        </w:rPr>
      </w:pPr>
      <w:r>
        <w:rPr>
          <w:rFonts w:ascii="Arial Narrow" w:hAnsi="Arial Narrow"/>
          <w:sz w:val="22"/>
          <w:szCs w:val="20"/>
        </w:rPr>
        <w:t>Z</w:t>
      </w:r>
      <w:r w:rsidRPr="001A72DF">
        <w:rPr>
          <w:rFonts w:ascii="Arial Narrow" w:hAnsi="Arial Narrow"/>
          <w:sz w:val="22"/>
          <w:szCs w:val="20"/>
        </w:rPr>
        <w:t>u einzelnen Ländern</w:t>
      </w:r>
      <w:r>
        <w:rPr>
          <w:rFonts w:ascii="Arial Narrow" w:hAnsi="Arial Narrow"/>
          <w:sz w:val="22"/>
          <w:szCs w:val="20"/>
        </w:rPr>
        <w:t xml:space="preserve"> (v.a. Indien)</w:t>
      </w:r>
    </w:p>
    <w:p w14:paraId="305F8B54" w14:textId="74420A5C" w:rsid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Bode, M.: Der Weg ins Chaos. Die Unabhängigkeit von Belgisch-Kongo, in: Geschichte lernen 99</w:t>
      </w:r>
      <w:r>
        <w:rPr>
          <w:rFonts w:ascii="Arial Narrow" w:hAnsi="Arial Narrow"/>
          <w:sz w:val="20"/>
          <w:szCs w:val="20"/>
        </w:rPr>
        <w:t>/2004</w:t>
      </w:r>
      <w:r w:rsidRPr="001A72DF">
        <w:rPr>
          <w:rFonts w:ascii="Arial Narrow" w:hAnsi="Arial Narrow"/>
          <w:sz w:val="20"/>
          <w:szCs w:val="20"/>
        </w:rPr>
        <w:t xml:space="preserve">: </w:t>
      </w:r>
      <w:proofErr w:type="spellStart"/>
      <w:r>
        <w:rPr>
          <w:rFonts w:ascii="Arial Narrow" w:hAnsi="Arial Narrow"/>
          <w:sz w:val="20"/>
          <w:szCs w:val="20"/>
        </w:rPr>
        <w:t>Entkolonisierung</w:t>
      </w:r>
      <w:proofErr w:type="spellEnd"/>
      <w:r w:rsidR="00CF7407">
        <w:rPr>
          <w:rFonts w:ascii="Arial Narrow" w:hAnsi="Arial Narrow"/>
          <w:sz w:val="20"/>
          <w:szCs w:val="20"/>
        </w:rPr>
        <w:t>, S. 52-58</w:t>
      </w:r>
    </w:p>
    <w:p w14:paraId="5C70F007" w14:textId="77777777" w:rsidR="00F01299" w:rsidRPr="001A72DF" w:rsidRDefault="00F01299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Dharampal</w:t>
      </w:r>
      <w:proofErr w:type="spellEnd"/>
      <w:r w:rsidRPr="001A72DF">
        <w:rPr>
          <w:rFonts w:ascii="Arial Narrow" w:hAnsi="Arial Narrow"/>
          <w:sz w:val="20"/>
          <w:szCs w:val="20"/>
        </w:rPr>
        <w:t>-Frick, G. / Ludwig, M.: Die Kolonialisierung Indiens und der Weg in die Unabhängigkeit, in: Der Bürger im Staat 59 [2009], S. 148-156</w:t>
      </w:r>
    </w:p>
    <w:p w14:paraId="73B52690" w14:textId="6D98635E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Jahn, E.: Die fatale Verklärung des Politikers </w:t>
      </w:r>
      <w:proofErr w:type="spellStart"/>
      <w:r w:rsidRPr="001A72DF">
        <w:rPr>
          <w:rFonts w:ascii="Arial Narrow" w:hAnsi="Arial Narrow"/>
          <w:sz w:val="20"/>
          <w:szCs w:val="20"/>
        </w:rPr>
        <w:t>Mohandas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K. Gandhi zum Heiligen. Seine Rolle in der nationalen Unabhängigkeitsbewegung Indiens. Frankfurter Montags-Vorlesungen, 10. Juli 2017: http://www.fb03.uni-frankfurt.de/67249892/DSFraM</w:t>
      </w:r>
      <w:r w:rsidR="00CF7407">
        <w:rPr>
          <w:rFonts w:ascii="Arial Narrow" w:hAnsi="Arial Narrow"/>
          <w:sz w:val="20"/>
          <w:szCs w:val="20"/>
        </w:rPr>
        <w:t>oV19-NET-GandhiNational-60.pdf?</w:t>
      </w:r>
    </w:p>
    <w:p w14:paraId="07956358" w14:textId="77777777" w:rsidR="00F01299" w:rsidRPr="001A72DF" w:rsidRDefault="00F01299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Lütt</w:t>
      </w:r>
      <w:proofErr w:type="spellEnd"/>
      <w:r w:rsidRPr="001A72DF">
        <w:rPr>
          <w:rFonts w:ascii="Arial Narrow" w:hAnsi="Arial Narrow"/>
          <w:sz w:val="20"/>
          <w:szCs w:val="20"/>
        </w:rPr>
        <w:t>, J.: „Übertragung der Macht“ oder „Sieg im Freiheitskampf“? Der Weg zur indischen Unabhängigkeit, in: Mommsen, W. J. [</w:t>
      </w:r>
      <w:proofErr w:type="spellStart"/>
      <w:r w:rsidRPr="001A72DF">
        <w:rPr>
          <w:rFonts w:ascii="Arial Narrow" w:hAnsi="Arial Narrow"/>
          <w:sz w:val="20"/>
          <w:szCs w:val="20"/>
        </w:rPr>
        <w:t>Hg</w:t>
      </w:r>
      <w:proofErr w:type="spellEnd"/>
      <w:r w:rsidRPr="001A72DF">
        <w:rPr>
          <w:rFonts w:ascii="Arial Narrow" w:hAnsi="Arial Narrow"/>
          <w:sz w:val="20"/>
          <w:szCs w:val="20"/>
        </w:rPr>
        <w:t>.]: Das Ende der Kolonialreiche. Dekolonisation und die Politik der Großmächte, Frankfurt a. M. 1990, S. 47-66</w:t>
      </w:r>
    </w:p>
    <w:p w14:paraId="0910D25B" w14:textId="77777777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Mann, M.: Geschichte Indiens. Vom 18. bis zum 21. Jahrhundert, Paderborn u.a. 2005</w:t>
      </w:r>
    </w:p>
    <w:p w14:paraId="6562A70D" w14:textId="77777777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Rothermund</w:t>
      </w:r>
      <w:proofErr w:type="spellEnd"/>
      <w:r w:rsidRPr="001A72DF">
        <w:rPr>
          <w:rFonts w:ascii="Arial Narrow" w:hAnsi="Arial Narrow"/>
          <w:sz w:val="20"/>
          <w:szCs w:val="20"/>
        </w:rPr>
        <w:t>, D.: Der Freiheitskampf Indiens, Stuttgart 1967</w:t>
      </w:r>
    </w:p>
    <w:p w14:paraId="14AF8E31" w14:textId="77777777" w:rsidR="001A72DF" w:rsidRPr="001A72DF" w:rsidRDefault="009D79F8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Ders</w:t>
      </w:r>
      <w:proofErr w:type="spellEnd"/>
      <w:r>
        <w:rPr>
          <w:rFonts w:ascii="Arial Narrow" w:hAnsi="Arial Narrow"/>
          <w:sz w:val="20"/>
          <w:szCs w:val="20"/>
        </w:rPr>
        <w:t>.</w:t>
      </w:r>
      <w:r w:rsidR="001A72DF" w:rsidRPr="001A72DF">
        <w:rPr>
          <w:rFonts w:ascii="Arial Narrow" w:hAnsi="Arial Narrow"/>
          <w:sz w:val="20"/>
          <w:szCs w:val="20"/>
        </w:rPr>
        <w:t xml:space="preserve">: Geschichte Indiens. Vom Mittelalter bis zur Gegenwart, München </w:t>
      </w:r>
      <w:r w:rsidR="001A72DF" w:rsidRPr="001A72DF">
        <w:rPr>
          <w:rFonts w:ascii="Arial Narrow" w:hAnsi="Arial Narrow"/>
          <w:sz w:val="20"/>
          <w:szCs w:val="20"/>
          <w:vertAlign w:val="superscript"/>
        </w:rPr>
        <w:t>4</w:t>
      </w:r>
      <w:r w:rsidR="001A72DF" w:rsidRPr="001A72DF">
        <w:rPr>
          <w:rFonts w:ascii="Arial Narrow" w:hAnsi="Arial Narrow"/>
          <w:sz w:val="20"/>
          <w:szCs w:val="20"/>
        </w:rPr>
        <w:t>2018</w:t>
      </w:r>
    </w:p>
    <w:p w14:paraId="2DEEB9EE" w14:textId="77777777" w:rsidR="00F01299" w:rsidRDefault="00F01299">
      <w:pPr>
        <w:rPr>
          <w:rFonts w:ascii="Arial Narrow" w:hAnsi="Arial Narrow"/>
          <w:sz w:val="20"/>
          <w:szCs w:val="20"/>
        </w:rPr>
      </w:pPr>
    </w:p>
    <w:p w14:paraId="3A5FA7EB" w14:textId="0A290B08" w:rsidR="007A2B21" w:rsidRPr="007A2B21" w:rsidRDefault="007A2B21" w:rsidP="009D79F8">
      <w:pPr>
        <w:spacing w:after="120"/>
        <w:rPr>
          <w:rFonts w:ascii="Arial Narrow" w:hAnsi="Arial Narrow"/>
          <w:szCs w:val="20"/>
        </w:rPr>
      </w:pPr>
      <w:r w:rsidRPr="007A2B21">
        <w:rPr>
          <w:rFonts w:ascii="Arial Narrow" w:hAnsi="Arial Narrow"/>
          <w:szCs w:val="20"/>
        </w:rPr>
        <w:t>Fachdidaktik</w:t>
      </w:r>
      <w:r w:rsidR="00CF7407">
        <w:rPr>
          <w:rFonts w:ascii="Arial Narrow" w:hAnsi="Arial Narrow"/>
          <w:szCs w:val="20"/>
        </w:rPr>
        <w:t>/Schulbuch</w:t>
      </w:r>
    </w:p>
    <w:p w14:paraId="02B9AEA7" w14:textId="77777777" w:rsidR="007A2B21" w:rsidRPr="007A2B21" w:rsidRDefault="007A2B21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 w:cstheme="minorHAnsi"/>
          <w:sz w:val="20"/>
          <w:szCs w:val="20"/>
        </w:rPr>
        <w:t>Brückmann, A.: Von den Kolonien zur „Dritten Welt“, Stuttgart 1999</w:t>
      </w:r>
    </w:p>
    <w:p w14:paraId="286DECB3" w14:textId="77777777" w:rsidR="007A2B21" w:rsidRPr="007A2B21" w:rsidRDefault="007A2B21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proofErr w:type="spellStart"/>
      <w:r w:rsidRPr="007A2B21">
        <w:rPr>
          <w:rFonts w:ascii="Arial Narrow" w:hAnsi="Arial Narrow"/>
          <w:sz w:val="20"/>
          <w:szCs w:val="20"/>
        </w:rPr>
        <w:t>Fenske</w:t>
      </w:r>
      <w:proofErr w:type="spellEnd"/>
      <w:r w:rsidRPr="007A2B21">
        <w:rPr>
          <w:rFonts w:ascii="Arial Narrow" w:hAnsi="Arial Narrow"/>
          <w:sz w:val="20"/>
          <w:szCs w:val="20"/>
        </w:rPr>
        <w:t xml:space="preserve">, U. / Groth, D. / </w:t>
      </w:r>
      <w:proofErr w:type="spellStart"/>
      <w:r w:rsidRPr="007A2B21">
        <w:rPr>
          <w:rFonts w:ascii="Arial Narrow" w:hAnsi="Arial Narrow"/>
          <w:sz w:val="20"/>
          <w:szCs w:val="20"/>
        </w:rPr>
        <w:t>Guse</w:t>
      </w:r>
      <w:proofErr w:type="spellEnd"/>
      <w:r w:rsidRPr="007A2B21">
        <w:rPr>
          <w:rFonts w:ascii="Arial Narrow" w:hAnsi="Arial Narrow"/>
          <w:sz w:val="20"/>
          <w:szCs w:val="20"/>
        </w:rPr>
        <w:t>, K.-M. / Kuhn, B. P. [Hgg.]: Kolonialismus und Dekolonisation in nationalen Geschichtskulturen und Erinnerungspolitiken in Europa, Frankfurt a. M. 2015</w:t>
      </w:r>
    </w:p>
    <w:p w14:paraId="1C1E5311" w14:textId="77777777" w:rsidR="00F01299" w:rsidRPr="007A2B21" w:rsidRDefault="00F01299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/>
          <w:sz w:val="20"/>
          <w:szCs w:val="20"/>
        </w:rPr>
        <w:t xml:space="preserve">Geschichte lernen 99/2004: </w:t>
      </w:r>
      <w:proofErr w:type="spellStart"/>
      <w:r w:rsidRPr="007A2B21">
        <w:rPr>
          <w:rFonts w:ascii="Arial Narrow" w:hAnsi="Arial Narrow"/>
          <w:sz w:val="20"/>
          <w:szCs w:val="20"/>
        </w:rPr>
        <w:t>Entkolonisierung</w:t>
      </w:r>
      <w:proofErr w:type="spellEnd"/>
    </w:p>
    <w:p w14:paraId="52657AF5" w14:textId="77777777" w:rsidR="00F01299" w:rsidRPr="007A2B21" w:rsidRDefault="00F01299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/>
          <w:sz w:val="20"/>
          <w:szCs w:val="20"/>
        </w:rPr>
        <w:t>Praxis Geschichte 2/2004: Dekolonisation</w:t>
      </w:r>
    </w:p>
    <w:sectPr w:rsidR="00F01299" w:rsidRPr="007A2B21" w:rsidSect="005E5717">
      <w:pgSz w:w="16840" w:h="11900" w:orient="landscape"/>
      <w:pgMar w:top="619" w:right="1134" w:bottom="4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45520" w14:textId="77777777" w:rsidR="00943C2D" w:rsidRDefault="00943C2D" w:rsidP="00610D52">
      <w:r>
        <w:separator/>
      </w:r>
    </w:p>
  </w:endnote>
  <w:endnote w:type="continuationSeparator" w:id="0">
    <w:p w14:paraId="7253808A" w14:textId="77777777" w:rsidR="00943C2D" w:rsidRDefault="00943C2D" w:rsidP="0061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E34C" w14:textId="77777777" w:rsidR="00943C2D" w:rsidRDefault="00943C2D" w:rsidP="00610D52">
      <w:r>
        <w:separator/>
      </w:r>
    </w:p>
  </w:footnote>
  <w:footnote w:type="continuationSeparator" w:id="0">
    <w:p w14:paraId="17C89BD0" w14:textId="77777777" w:rsidR="00943C2D" w:rsidRDefault="00943C2D" w:rsidP="0061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1E33"/>
    <w:multiLevelType w:val="hybridMultilevel"/>
    <w:tmpl w:val="66A67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86356"/>
    <w:multiLevelType w:val="hybridMultilevel"/>
    <w:tmpl w:val="60B0A0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65284"/>
    <w:multiLevelType w:val="hybridMultilevel"/>
    <w:tmpl w:val="B4B287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CC"/>
    <w:rsid w:val="000033B7"/>
    <w:rsid w:val="00055227"/>
    <w:rsid w:val="00062817"/>
    <w:rsid w:val="000778F6"/>
    <w:rsid w:val="000D3F00"/>
    <w:rsid w:val="000E2F49"/>
    <w:rsid w:val="000F2069"/>
    <w:rsid w:val="0010397B"/>
    <w:rsid w:val="00140AA9"/>
    <w:rsid w:val="00142A9E"/>
    <w:rsid w:val="001454B3"/>
    <w:rsid w:val="0015557D"/>
    <w:rsid w:val="00172D76"/>
    <w:rsid w:val="00173070"/>
    <w:rsid w:val="00190907"/>
    <w:rsid w:val="00194CED"/>
    <w:rsid w:val="00195B99"/>
    <w:rsid w:val="001A4FE0"/>
    <w:rsid w:val="001A72DF"/>
    <w:rsid w:val="001B2063"/>
    <w:rsid w:val="001D7756"/>
    <w:rsid w:val="001E4A66"/>
    <w:rsid w:val="001F6F59"/>
    <w:rsid w:val="002100B1"/>
    <w:rsid w:val="00214C5A"/>
    <w:rsid w:val="002247E2"/>
    <w:rsid w:val="00240C94"/>
    <w:rsid w:val="00256D05"/>
    <w:rsid w:val="00284941"/>
    <w:rsid w:val="002972CF"/>
    <w:rsid w:val="002A5271"/>
    <w:rsid w:val="002B74CC"/>
    <w:rsid w:val="002E10F1"/>
    <w:rsid w:val="002E2FAA"/>
    <w:rsid w:val="002E621B"/>
    <w:rsid w:val="002E7CF9"/>
    <w:rsid w:val="002F0A5C"/>
    <w:rsid w:val="00305B7F"/>
    <w:rsid w:val="0031349C"/>
    <w:rsid w:val="00324A8C"/>
    <w:rsid w:val="00361719"/>
    <w:rsid w:val="003A0276"/>
    <w:rsid w:val="003D30BB"/>
    <w:rsid w:val="003E0A53"/>
    <w:rsid w:val="003F1CEE"/>
    <w:rsid w:val="0045727F"/>
    <w:rsid w:val="0046084A"/>
    <w:rsid w:val="00472717"/>
    <w:rsid w:val="00474A5B"/>
    <w:rsid w:val="004A4E62"/>
    <w:rsid w:val="004F562C"/>
    <w:rsid w:val="00501295"/>
    <w:rsid w:val="00531362"/>
    <w:rsid w:val="005368ED"/>
    <w:rsid w:val="00550D4F"/>
    <w:rsid w:val="00561296"/>
    <w:rsid w:val="005639EA"/>
    <w:rsid w:val="00563E31"/>
    <w:rsid w:val="00571FEC"/>
    <w:rsid w:val="00580880"/>
    <w:rsid w:val="005A60A6"/>
    <w:rsid w:val="005B3FAC"/>
    <w:rsid w:val="005B5FDA"/>
    <w:rsid w:val="005C106B"/>
    <w:rsid w:val="005E0D4C"/>
    <w:rsid w:val="005E5717"/>
    <w:rsid w:val="005E57D1"/>
    <w:rsid w:val="0060718F"/>
    <w:rsid w:val="00610D52"/>
    <w:rsid w:val="00653206"/>
    <w:rsid w:val="006576C4"/>
    <w:rsid w:val="006A126A"/>
    <w:rsid w:val="006D472C"/>
    <w:rsid w:val="006E32EC"/>
    <w:rsid w:val="006E4331"/>
    <w:rsid w:val="006F1659"/>
    <w:rsid w:val="00737843"/>
    <w:rsid w:val="007450E5"/>
    <w:rsid w:val="007A2B21"/>
    <w:rsid w:val="007B6442"/>
    <w:rsid w:val="007F2241"/>
    <w:rsid w:val="0080283B"/>
    <w:rsid w:val="008119EE"/>
    <w:rsid w:val="008156BE"/>
    <w:rsid w:val="00816EC8"/>
    <w:rsid w:val="00820A59"/>
    <w:rsid w:val="0082645B"/>
    <w:rsid w:val="008327EF"/>
    <w:rsid w:val="00834BC7"/>
    <w:rsid w:val="00856B3E"/>
    <w:rsid w:val="008A1C43"/>
    <w:rsid w:val="008E1BC7"/>
    <w:rsid w:val="00932C02"/>
    <w:rsid w:val="00943C2D"/>
    <w:rsid w:val="009519EB"/>
    <w:rsid w:val="0096447F"/>
    <w:rsid w:val="009731A5"/>
    <w:rsid w:val="009B37C7"/>
    <w:rsid w:val="009D79F8"/>
    <w:rsid w:val="009F0D13"/>
    <w:rsid w:val="00A000C8"/>
    <w:rsid w:val="00A418D0"/>
    <w:rsid w:val="00A8304D"/>
    <w:rsid w:val="00A8544C"/>
    <w:rsid w:val="00A87806"/>
    <w:rsid w:val="00AB537B"/>
    <w:rsid w:val="00AC267B"/>
    <w:rsid w:val="00AC5D2D"/>
    <w:rsid w:val="00AC5F98"/>
    <w:rsid w:val="00AD778A"/>
    <w:rsid w:val="00B358BE"/>
    <w:rsid w:val="00B72BF1"/>
    <w:rsid w:val="00B92066"/>
    <w:rsid w:val="00BB3E51"/>
    <w:rsid w:val="00BC3823"/>
    <w:rsid w:val="00C063FE"/>
    <w:rsid w:val="00C22B0D"/>
    <w:rsid w:val="00C2362D"/>
    <w:rsid w:val="00C24429"/>
    <w:rsid w:val="00C327C1"/>
    <w:rsid w:val="00CF7407"/>
    <w:rsid w:val="00D36097"/>
    <w:rsid w:val="00D36E0A"/>
    <w:rsid w:val="00D64D58"/>
    <w:rsid w:val="00D84421"/>
    <w:rsid w:val="00DC3A36"/>
    <w:rsid w:val="00E41083"/>
    <w:rsid w:val="00E86C4A"/>
    <w:rsid w:val="00E9750C"/>
    <w:rsid w:val="00EB7EE9"/>
    <w:rsid w:val="00ED1585"/>
    <w:rsid w:val="00EE26AA"/>
    <w:rsid w:val="00EF1ACD"/>
    <w:rsid w:val="00EF74E7"/>
    <w:rsid w:val="00F01299"/>
    <w:rsid w:val="00F06012"/>
    <w:rsid w:val="00F479EB"/>
    <w:rsid w:val="00F54762"/>
    <w:rsid w:val="00F654D5"/>
    <w:rsid w:val="00F91CF3"/>
    <w:rsid w:val="00F944A2"/>
    <w:rsid w:val="00FE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B1F7C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B7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10D52"/>
  </w:style>
  <w:style w:type="paragraph" w:styleId="Fuzeile">
    <w:name w:val="footer"/>
    <w:basedOn w:val="Standard"/>
    <w:link w:val="FuzeileZeiche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10D52"/>
  </w:style>
  <w:style w:type="paragraph" w:styleId="Listenabsatz">
    <w:name w:val="List Paragraph"/>
    <w:basedOn w:val="Standard"/>
    <w:uiPriority w:val="99"/>
    <w:qFormat/>
    <w:rsid w:val="00C24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B7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10D52"/>
  </w:style>
  <w:style w:type="paragraph" w:styleId="Fuzeile">
    <w:name w:val="footer"/>
    <w:basedOn w:val="Standard"/>
    <w:link w:val="FuzeileZeiche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10D52"/>
  </w:style>
  <w:style w:type="paragraph" w:styleId="Listenabsatz">
    <w:name w:val="List Paragraph"/>
    <w:basedOn w:val="Standard"/>
    <w:uiPriority w:val="99"/>
    <w:qFormat/>
    <w:rsid w:val="00C24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1040</Words>
  <Characters>6555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49</cp:revision>
  <cp:lastPrinted>2018-11-20T10:22:00Z</cp:lastPrinted>
  <dcterms:created xsi:type="dcterms:W3CDTF">2018-11-17T12:49:00Z</dcterms:created>
  <dcterms:modified xsi:type="dcterms:W3CDTF">2020-02-03T07:52:00Z</dcterms:modified>
</cp:coreProperties>
</file>