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LineNumbers/>
        <w:rPr>
          <w:rFonts w:ascii="Calibri" w:hAnsi="Calibri"/>
          <w:b/>
          <w:b/>
          <w:bCs/>
          <w:sz w:val="24"/>
          <w:szCs w:val="24"/>
        </w:rPr>
      </w:pPr>
      <w:r>
        <w:rPr>
          <w:rFonts w:ascii="Calibri" w:hAnsi="Calibri"/>
          <w:b/>
          <w:bCs/>
          <w:sz w:val="24"/>
          <w:szCs w:val="24"/>
        </w:rPr>
      </w:r>
    </w:p>
    <w:p>
      <w:pPr>
        <w:pStyle w:val="Normal"/>
        <w:suppressLineNumbers/>
        <w:rPr/>
      </w:pPr>
      <w:r>
        <w:rPr>
          <w:rFonts w:ascii="Calibri" w:hAnsi="Calibri"/>
          <w:b/>
          <w:bCs/>
          <w:sz w:val="24"/>
          <w:szCs w:val="24"/>
          <w:u w:val="single"/>
        </w:rPr>
        <w:t>Thema:</w:t>
      </w:r>
      <w:r>
        <w:rPr>
          <w:rFonts w:ascii="Calibri" w:hAnsi="Calibri"/>
          <w:b/>
          <w:bCs/>
          <w:sz w:val="24"/>
          <w:szCs w:val="24"/>
          <w:u w:val="none"/>
        </w:rPr>
        <w:t xml:space="preserve"> </w:t>
        <w:tab/>
        <w:t>Der UN-Sicherheitsrat – Geeignete Institution zum Schutz von Menschenrechten?</w:t>
      </w:r>
    </w:p>
    <w:p>
      <w:pPr>
        <w:pStyle w:val="Normal"/>
        <w:suppressLineNumbers/>
        <w:rPr>
          <w:rFonts w:ascii="Calibri" w:hAnsi="Calibri"/>
          <w:b/>
          <w:b/>
          <w:bCs/>
          <w:sz w:val="24"/>
          <w:szCs w:val="24"/>
        </w:rPr>
      </w:pPr>
      <w:r>
        <w:rPr>
          <w:rFonts w:ascii="Calibri" w:hAnsi="Calibri"/>
          <w:b/>
          <w:bCs/>
          <w:sz w:val="24"/>
          <w:szCs w:val="24"/>
        </w:rPr>
      </w:r>
    </w:p>
    <w:p>
      <w:pPr>
        <w:pStyle w:val="Normal"/>
        <w:suppressLineNumbers/>
        <w:rPr>
          <w:rFonts w:ascii="Calibri" w:hAnsi="Calibri"/>
          <w:b/>
          <w:b/>
          <w:bCs/>
          <w:sz w:val="24"/>
          <w:szCs w:val="24"/>
          <w:u w:val="single"/>
        </w:rPr>
      </w:pPr>
      <w:r>
        <w:rPr>
          <w:rFonts w:ascii="Calibri" w:hAnsi="Calibri"/>
          <w:b/>
          <w:bCs/>
          <w:sz w:val="24"/>
          <w:szCs w:val="24"/>
          <w:u w:val="single"/>
        </w:rPr>
        <w:t>Aufgaben:</w:t>
      </w:r>
    </w:p>
    <w:p>
      <w:pPr>
        <w:pStyle w:val="Normal"/>
        <w:suppressLineNumbers/>
        <w:rPr>
          <w:rFonts w:ascii="Calibri" w:hAnsi="Calibri"/>
          <w:b w:val="false"/>
          <w:b w:val="false"/>
          <w:bCs w:val="false"/>
          <w:sz w:val="24"/>
          <w:szCs w:val="24"/>
        </w:rPr>
      </w:pPr>
      <w:r>
        <w:rPr>
          <w:rFonts w:ascii="Calibri" w:hAnsi="Calibri"/>
          <w:b w:val="false"/>
          <w:bCs w:val="false"/>
          <w:sz w:val="24"/>
          <w:szCs w:val="24"/>
        </w:rPr>
      </w:r>
    </w:p>
    <w:p>
      <w:pPr>
        <w:pStyle w:val="Normal"/>
        <w:suppressLineNumbers/>
        <w:spacing w:lineRule="auto" w:line="240" w:before="0" w:after="170"/>
        <w:ind w:left="0" w:right="0" w:hanging="0"/>
        <w:rPr>
          <w:rFonts w:ascii="Calibri" w:hAnsi="Calibri"/>
          <w:b w:val="false"/>
          <w:b w:val="false"/>
          <w:bCs w:val="false"/>
          <w:sz w:val="24"/>
          <w:szCs w:val="24"/>
        </w:rPr>
      </w:pPr>
      <w:r>
        <w:rPr>
          <w:rFonts w:ascii="Calibri" w:hAnsi="Calibri"/>
          <w:b w:val="false"/>
          <w:bCs w:val="false"/>
          <w:sz w:val="24"/>
          <w:szCs w:val="24"/>
        </w:rPr>
        <w:t xml:space="preserve">(1) </w:t>
        <w:tab/>
        <w:t>Beschreiben Sie die Struktur des internationalen Systems.</w:t>
      </w:r>
    </w:p>
    <w:p>
      <w:pPr>
        <w:pStyle w:val="Normal"/>
        <w:suppressLineNumbers/>
        <w:spacing w:lineRule="auto" w:line="240" w:before="0" w:after="170"/>
        <w:ind w:left="0" w:right="0" w:hanging="0"/>
        <w:rPr>
          <w:rFonts w:ascii="Calibri" w:hAnsi="Calibri"/>
          <w:b w:val="false"/>
          <w:b w:val="false"/>
          <w:bCs w:val="false"/>
          <w:sz w:val="24"/>
          <w:szCs w:val="24"/>
        </w:rPr>
      </w:pPr>
      <w:r>
        <w:rPr>
          <w:rFonts w:ascii="Calibri" w:hAnsi="Calibri"/>
          <w:b w:val="false"/>
          <w:bCs w:val="false"/>
          <w:sz w:val="24"/>
          <w:szCs w:val="24"/>
        </w:rPr>
        <w:t xml:space="preserve">(2) </w:t>
        <w:tab/>
        <w:t xml:space="preserve">Erläutern Sie ausgehend von M 1, was ein Aufstieg Chinas für das internationale System </w:t>
        <w:tab/>
        <w:t xml:space="preserve">bedeutet. </w:t>
      </w:r>
    </w:p>
    <w:p>
      <w:pPr>
        <w:pStyle w:val="Normal"/>
        <w:suppressLineNumbers/>
        <w:spacing w:lineRule="auto" w:line="240" w:before="0" w:after="57"/>
        <w:ind w:left="0" w:right="0" w:hanging="0"/>
        <w:rPr>
          <w:rFonts w:ascii="Calibri" w:hAnsi="Calibri"/>
          <w:b w:val="false"/>
          <w:b w:val="false"/>
          <w:bCs w:val="false"/>
          <w:sz w:val="24"/>
          <w:szCs w:val="24"/>
        </w:rPr>
      </w:pPr>
      <w:r>
        <w:rPr>
          <w:rFonts w:ascii="Calibri" w:hAnsi="Calibri"/>
          <w:b w:val="false"/>
          <w:bCs w:val="false"/>
          <w:sz w:val="24"/>
          <w:szCs w:val="24"/>
        </w:rPr>
        <w:t xml:space="preserve">(3) </w:t>
        <w:tab/>
        <w:t>China ist ständiges Mitglied im Weltsicherheitsrat.</w:t>
      </w:r>
    </w:p>
    <w:p>
      <w:pPr>
        <w:pStyle w:val="Normal"/>
        <w:suppressLineNumbers/>
        <w:spacing w:lineRule="auto" w:line="240" w:before="0" w:after="113"/>
        <w:ind w:left="0" w:right="0" w:hanging="0"/>
        <w:rPr/>
      </w:pPr>
      <w:r>
        <w:rPr>
          <w:rFonts w:ascii="Calibri" w:hAnsi="Calibri"/>
          <w:b w:val="false"/>
          <w:bCs w:val="false"/>
          <w:sz w:val="24"/>
          <w:szCs w:val="24"/>
        </w:rPr>
        <w:tab/>
        <w:t xml:space="preserve">Erörtern Sie die Möglichkeit, auf diesem Wege den Schutz von Menschenrechten zu </w:t>
        <w:tab/>
        <w:t>garantieren.</w:t>
      </w:r>
    </w:p>
    <w:p>
      <w:pPr>
        <w:pStyle w:val="Normal"/>
        <w:suppressLineNumbers/>
        <w:spacing w:lineRule="auto" w:line="240"/>
        <w:rPr>
          <w:rFonts w:ascii="Calibri" w:hAnsi="Calibri"/>
          <w:b w:val="false"/>
          <w:b w:val="false"/>
          <w:bCs w:val="false"/>
          <w:sz w:val="24"/>
          <w:szCs w:val="24"/>
        </w:rPr>
      </w:pPr>
      <w:r>
        <w:rPr>
          <w:rFonts w:ascii="Calibri" w:hAnsi="Calibri"/>
          <w:b w:val="false"/>
          <w:bCs w:val="false"/>
          <w:sz w:val="24"/>
          <w:szCs w:val="24"/>
        </w:rPr>
      </w:r>
    </w:p>
    <w:p>
      <w:pPr>
        <w:pStyle w:val="Normal"/>
        <w:suppressLineNumbers/>
        <w:rPr>
          <w:rFonts w:ascii="Calibri" w:hAnsi="Calibri"/>
          <w:b/>
          <w:b/>
          <w:bCs/>
          <w:sz w:val="26"/>
          <w:szCs w:val="26"/>
          <w:u w:val="single"/>
        </w:rPr>
      </w:pPr>
      <w:r>
        <w:rPr>
          <w:rFonts w:ascii="Calibri" w:hAnsi="Calibri"/>
          <w:b/>
          <w:bCs/>
          <w:sz w:val="26"/>
          <w:szCs w:val="26"/>
          <w:u w:val="single"/>
        </w:rPr>
        <w:t>Material</w:t>
      </w:r>
    </w:p>
    <w:p>
      <w:pPr>
        <w:pStyle w:val="Normal"/>
        <w:suppressLineNumbers/>
        <w:rPr>
          <w:rFonts w:ascii="Calibri" w:hAnsi="Calibri" w:eastAsia="Noto Sans CJK SC Regular" w:cs="Lohit Devanagari"/>
          <w:b/>
          <w:b/>
          <w:bCs/>
          <w:color w:val="auto"/>
          <w:kern w:val="2"/>
          <w:sz w:val="24"/>
          <w:szCs w:val="24"/>
          <w:lang w:val="de-DE" w:eastAsia="zh-CN" w:bidi="hi-IN"/>
        </w:rPr>
      </w:pPr>
      <w:r>
        <w:rPr>
          <w:rFonts w:eastAsia="Noto Sans CJK SC Regular" w:cs="Lohit Devanagari" w:ascii="Calibri" w:hAnsi="Calibri"/>
          <w:b/>
          <w:bCs/>
          <w:color w:val="auto"/>
          <w:kern w:val="2"/>
          <w:sz w:val="24"/>
          <w:szCs w:val="24"/>
          <w:lang w:val="de-DE" w:eastAsia="zh-CN" w:bidi="hi-IN"/>
        </w:rPr>
      </w:r>
    </w:p>
    <w:p>
      <w:pPr>
        <w:pStyle w:val="Normal"/>
        <w:suppressLineNumbers/>
        <w:rPr>
          <w:rFonts w:ascii="Calibri" w:hAnsi="Calibri" w:eastAsia="Noto Sans CJK SC Regular" w:cs="Lohit Devanagari"/>
          <w:b/>
          <w:b/>
          <w:bCs/>
          <w:color w:val="auto"/>
          <w:kern w:val="2"/>
          <w:sz w:val="24"/>
          <w:szCs w:val="24"/>
          <w:lang w:val="de-DE" w:eastAsia="zh-CN" w:bidi="hi-IN"/>
        </w:rPr>
      </w:pPr>
      <w:r>
        <w:rPr>
          <w:rFonts w:eastAsia="Noto Sans CJK SC Regular" w:cs="Lohit Devanagari" w:ascii="Calibri" w:hAnsi="Calibri"/>
          <w:b/>
          <w:bCs/>
          <w:color w:val="auto"/>
          <w:kern w:val="2"/>
          <w:sz w:val="24"/>
          <w:szCs w:val="24"/>
          <w:lang w:val="de-DE" w:eastAsia="zh-CN" w:bidi="hi-IN"/>
        </w:rPr>
        <w:t>M1</w:t>
        <w:tab/>
        <w:t>Matthias Kolb: Die Zeit der Naivität ist vorbei</w:t>
      </w:r>
    </w:p>
    <w:p>
      <w:pPr>
        <w:pStyle w:val="Normal"/>
        <w:suppressLineNumbers/>
        <w:rPr/>
      </w:pPr>
      <w:r>
        <w:rPr>
          <w:rFonts w:eastAsia="Noto Sans CJK SC Regular" w:cs="Lohit Devanagari" w:ascii="Calibri" w:hAnsi="Calibri"/>
          <w:b/>
          <w:bCs/>
          <w:color w:val="auto"/>
          <w:kern w:val="2"/>
          <w:sz w:val="24"/>
          <w:szCs w:val="24"/>
          <w:lang w:val="de-DE" w:eastAsia="zh-CN" w:bidi="hi-IN"/>
        </w:rPr>
        <w:tab/>
        <w:t xml:space="preserve">in: Süddeutsche Zeitung vom 18.03.2019, </w:t>
      </w:r>
      <w:hyperlink r:id="rId2">
        <w:r>
          <w:rPr>
            <w:rStyle w:val="Internetverknpfung"/>
          </w:rPr>
          <w:t>https://www.sueddeutsche.de/politik/eu-china</w:t>
        </w:r>
      </w:hyperlink>
      <w:r>
        <w:rPr>
          <w:rStyle w:val="Internetverknpfung"/>
          <w:rFonts w:eastAsia="Noto Sans CJK SC Regular" w:cs="Lohit Devanagari" w:ascii="Calibri" w:hAnsi="Calibri"/>
          <w:b/>
          <w:bCs/>
          <w:color w:val="auto"/>
          <w:kern w:val="2"/>
          <w:sz w:val="24"/>
          <w:szCs w:val="24"/>
          <w:lang w:val="de-DE" w:eastAsia="zh-CN" w:bidi="hi-IN"/>
        </w:rPr>
        <w:t>/...</w:t>
      </w:r>
    </w:p>
    <w:p>
      <w:pPr>
        <w:pStyle w:val="Normal"/>
        <w:suppressLineNumbers/>
        <w:rPr>
          <w:rFonts w:ascii="Calibri" w:hAnsi="Calibri" w:eastAsia="Noto Sans CJK SC Regular" w:cs="Lohit Devanagari"/>
          <w:b w:val="false"/>
          <w:b w:val="false"/>
          <w:bCs w:val="false"/>
          <w:color w:val="auto"/>
          <w:kern w:val="2"/>
          <w:sz w:val="24"/>
          <w:szCs w:val="24"/>
          <w:lang w:val="de-DE" w:eastAsia="zh-CN" w:bidi="hi-IN"/>
        </w:rPr>
      </w:pPr>
      <w:r>
        <w:rPr>
          <w:rFonts w:eastAsia="Noto Sans CJK SC Regular" w:cs="Lohit Devanagari" w:ascii="Calibri" w:hAnsi="Calibri"/>
          <w:b w:val="false"/>
          <w:bCs w:val="false"/>
          <w:color w:val="auto"/>
          <w:kern w:val="2"/>
          <w:sz w:val="24"/>
          <w:szCs w:val="24"/>
          <w:lang w:val="de-DE" w:eastAsia="zh-CN" w:bidi="hi-IN"/>
        </w:rPr>
      </w:r>
    </w:p>
    <w:p>
      <w:pPr>
        <w:pStyle w:val="Normal"/>
        <w:jc w:val="both"/>
        <w:rPr>
          <w:rFonts w:ascii="Calibri" w:hAnsi="Calibri" w:eastAsia="Noto Sans CJK SC Regular" w:cs="Lohit Devanagari"/>
          <w:b w:val="false"/>
          <w:b w:val="false"/>
          <w:bCs w:val="false"/>
          <w:color w:val="auto"/>
          <w:kern w:val="2"/>
          <w:sz w:val="24"/>
          <w:szCs w:val="24"/>
          <w:lang w:val="de-DE" w:eastAsia="zh-CN" w:bidi="hi-IN"/>
        </w:rPr>
      </w:pPr>
      <w:r>
        <w:rPr>
          <w:rFonts w:eastAsia="Noto Sans CJK SC Regular" w:cs="Lohit Devanagari" w:ascii="Calibri" w:hAnsi="Calibri"/>
          <w:b w:val="false"/>
          <w:bCs w:val="false"/>
          <w:color w:val="auto"/>
          <w:kern w:val="2"/>
          <w:sz w:val="24"/>
          <w:szCs w:val="24"/>
          <w:lang w:val="de-DE" w:eastAsia="zh-CN" w:bidi="hi-IN"/>
        </w:rPr>
        <w:t>gekürzt</w:t>
      </w:r>
      <w:r>
        <w:br w:type="page"/>
      </w:r>
    </w:p>
    <w:p>
      <w:pPr>
        <w:pStyle w:val="Normal"/>
        <w:rPr>
          <w:rFonts w:ascii="Calibri" w:hAnsi="Calibri" w:eastAsia="Noto Sans CJK SC Regular" w:cs="Lohit Devanagari"/>
          <w:b/>
          <w:b/>
          <w:bCs/>
          <w:color w:val="auto"/>
          <w:kern w:val="2"/>
          <w:sz w:val="24"/>
          <w:szCs w:val="24"/>
          <w:u w:val="single"/>
          <w:lang w:val="de-DE" w:eastAsia="zh-CN" w:bidi="hi-IN"/>
        </w:rPr>
      </w:pPr>
      <w:r>
        <w:rPr>
          <w:rFonts w:eastAsia="Noto Sans CJK SC Regular" w:cs="Lohit Devanagari" w:ascii="Calibri" w:hAnsi="Calibri"/>
          <w:b/>
          <w:bCs/>
          <w:color w:val="auto"/>
          <w:kern w:val="2"/>
          <w:sz w:val="24"/>
          <w:szCs w:val="24"/>
          <w:u w:val="single"/>
          <w:lang w:val="de-DE" w:eastAsia="zh-CN" w:bidi="hi-IN"/>
        </w:rPr>
        <w:t>Erwartungshorizont:</w:t>
      </w:r>
    </w:p>
    <w:p>
      <w:pPr>
        <w:pStyle w:val="Normal"/>
        <w:suppressLineNumbers/>
        <w:rPr>
          <w:rFonts w:ascii="Calibri" w:hAnsi="Calibri"/>
          <w:sz w:val="24"/>
          <w:szCs w:val="24"/>
        </w:rPr>
      </w:pPr>
      <w:r>
        <w:rPr>
          <w:rFonts w:ascii="Calibri" w:hAnsi="Calibri"/>
          <w:sz w:val="24"/>
          <w:szCs w:val="24"/>
        </w:rPr>
      </w:r>
    </w:p>
    <w:p>
      <w:pPr>
        <w:pStyle w:val="Normal"/>
        <w:suppressLineNumbers/>
        <w:jc w:val="both"/>
        <w:rPr/>
      </w:pPr>
      <w:r>
        <w:rPr>
          <w:rFonts w:ascii="Calibri" w:hAnsi="Calibri"/>
          <w:sz w:val="24"/>
          <w:szCs w:val="24"/>
        </w:rPr>
        <w:t xml:space="preserve">1. </w:t>
      </w:r>
      <w:r>
        <w:rPr>
          <w:rFonts w:ascii="Calibri" w:hAnsi="Calibri"/>
          <w:i/>
          <w:iCs/>
          <w:sz w:val="24"/>
          <w:szCs w:val="24"/>
        </w:rPr>
        <w:t>Die Beschreibung verlangt die schlüssige Wiedergabe von Strukturelementen des internationalen Systems.</w:t>
      </w:r>
    </w:p>
    <w:p>
      <w:pPr>
        <w:pStyle w:val="Normal"/>
        <w:suppressLineNumbers/>
        <w:jc w:val="both"/>
        <w:rPr>
          <w:rFonts w:ascii="Calibri" w:hAnsi="Calibri"/>
          <w:sz w:val="22"/>
          <w:szCs w:val="22"/>
        </w:rPr>
      </w:pPr>
      <w:r>
        <w:rPr>
          <w:rFonts w:ascii="Calibri" w:hAnsi="Calibri"/>
          <w:sz w:val="22"/>
          <w:szCs w:val="22"/>
        </w:rPr>
        <w:t>Dazu lässt sich beispielsweise auf Machtverteilung, Interdependenzen oder Akteure eingehen.  Der Bildungsplan von 2016 benennt explizit die Beschreibungselemente: Anarchie, Sicherheitsdilemma, Interdependenzen</w:t>
      </w:r>
    </w:p>
    <w:p>
      <w:pPr>
        <w:pStyle w:val="Normal"/>
        <w:suppressLineNumbers/>
        <w:jc w:val="both"/>
        <w:rPr>
          <w:rFonts w:ascii="Calibri" w:hAnsi="Calibri"/>
          <w:sz w:val="24"/>
          <w:szCs w:val="24"/>
        </w:rPr>
      </w:pPr>
      <w:r>
        <w:rPr>
          <w:rFonts w:ascii="Calibri" w:hAnsi="Calibri"/>
          <w:sz w:val="24"/>
          <w:szCs w:val="24"/>
        </w:rPr>
      </w:r>
    </w:p>
    <w:p>
      <w:pPr>
        <w:pStyle w:val="Normal"/>
        <w:suppressLineNumbers/>
        <w:jc w:val="both"/>
        <w:rPr/>
      </w:pPr>
      <w:r>
        <w:rPr>
          <w:rFonts w:ascii="Calibri" w:hAnsi="Calibri"/>
          <w:i w:val="false"/>
          <w:iCs w:val="false"/>
          <w:sz w:val="24"/>
          <w:szCs w:val="24"/>
        </w:rPr>
        <w:t>2.</w:t>
      </w:r>
      <w:r>
        <w:rPr>
          <w:rFonts w:ascii="Calibri" w:hAnsi="Calibri"/>
          <w:i/>
          <w:iCs/>
          <w:sz w:val="24"/>
          <w:szCs w:val="24"/>
        </w:rPr>
        <w:t xml:space="preserve"> </w:t>
      </w:r>
      <w:r>
        <w:rPr>
          <w:rFonts w:ascii="Calibri" w:hAnsi="Calibri"/>
          <w:b w:val="false"/>
          <w:i/>
          <w:iCs/>
          <w:color w:val="000000"/>
          <w:kern w:val="2"/>
          <w:sz w:val="24"/>
          <w:szCs w:val="24"/>
        </w:rPr>
        <w:t xml:space="preserve">Die Aufgabenstellung verlangt, die Folgen eines Aufstiegs Chinas für das internationale System anhand von Beispielen zu verdeutlichen. Dabei sollte sowohl auf Textinhalte als auch auf eigenes Wissen Bezug genommen werden. </w:t>
      </w:r>
    </w:p>
    <w:p>
      <w:pPr>
        <w:pStyle w:val="Normal"/>
        <w:suppressLineNumbers/>
        <w:jc w:val="both"/>
        <w:rPr>
          <w:rFonts w:ascii="Calibri" w:hAnsi="Calibri" w:eastAsia="Noto Sans CJK SC Regular" w:cs="Lohit Devanagari"/>
          <w:color w:val="auto"/>
          <w:kern w:val="2"/>
          <w:sz w:val="22"/>
          <w:szCs w:val="22"/>
          <w:lang w:val="de-DE" w:eastAsia="zh-CN" w:bidi="hi-IN"/>
        </w:rPr>
      </w:pPr>
      <w:r>
        <w:rPr>
          <w:rFonts w:eastAsia="Noto Sans CJK SC Regular" w:cs="Lohit Devanagari" w:ascii="Calibri" w:hAnsi="Calibri"/>
          <w:color w:val="auto"/>
          <w:kern w:val="2"/>
          <w:sz w:val="22"/>
          <w:szCs w:val="22"/>
          <w:lang w:val="de-DE" w:eastAsia="zh-CN" w:bidi="hi-IN"/>
        </w:rPr>
        <w:t xml:space="preserve">Durch den Aufstieg Chinas verschiebt sich das das Mächteverhältnis weg von der Dominanz der USA hin zu einer stärker multipolar geprägten Staatenwelt. Dies zeigt sich derzeit vor allem an der ökonomischen Macht Chinas. Dazu kommt, dass durch die Machtverschiebung auch westlich geprägte Themen wie beispielsweise Menschenrechte zunehmend an Relevanz verlieren. </w:t>
      </w:r>
    </w:p>
    <w:p>
      <w:pPr>
        <w:pStyle w:val="Normal"/>
        <w:suppressLineNumbers/>
        <w:jc w:val="both"/>
        <w:rPr>
          <w:rFonts w:ascii="Calibri" w:hAnsi="Calibri"/>
          <w:sz w:val="22"/>
          <w:szCs w:val="22"/>
        </w:rPr>
      </w:pPr>
      <w:r>
        <w:rPr>
          <w:rFonts w:ascii="Calibri" w:hAnsi="Calibri"/>
          <w:sz w:val="22"/>
          <w:szCs w:val="22"/>
        </w:rPr>
        <w:t>Der Text zeigt dies zunächst am Beispiel der wachsenden Wirtschaftsmacht Chinas. So ist der Anteil Chinas am Welthandel gestiegen, es investiert in Infrastrukturprojekte in Europa und kann so den europäischen Diskurs mit beeinflussen . In Ergänzung dazu zeigt sich auch in anderen Bereichen wie dem G5-Netz oder dem chinesischen Raumfahrprogramm ein Machtzuwachs Chinas. Für das internationale System bedeutet dies, dass der Einfluss Chinas wachsen wird.</w:t>
      </w:r>
    </w:p>
    <w:p>
      <w:pPr>
        <w:pStyle w:val="Normal"/>
        <w:suppressLineNumbers/>
        <w:jc w:val="both"/>
        <w:rPr>
          <w:rFonts w:ascii="Calibri" w:hAnsi="Calibri"/>
          <w:sz w:val="22"/>
          <w:szCs w:val="22"/>
        </w:rPr>
      </w:pPr>
      <w:r>
        <w:rPr>
          <w:rFonts w:ascii="Calibri" w:hAnsi="Calibri"/>
          <w:sz w:val="22"/>
          <w:szCs w:val="22"/>
        </w:rPr>
      </w:r>
    </w:p>
    <w:p>
      <w:pPr>
        <w:pStyle w:val="Normal"/>
        <w:suppressLineNumbers/>
        <w:jc w:val="both"/>
        <w:rPr/>
      </w:pPr>
      <w:r>
        <w:rPr>
          <w:rFonts w:ascii="Calibri" w:hAnsi="Calibri"/>
          <w:sz w:val="24"/>
          <w:szCs w:val="24"/>
        </w:rPr>
        <w:t xml:space="preserve">3. </w:t>
      </w:r>
      <w:r>
        <w:rPr>
          <w:rFonts w:ascii="Calibri" w:hAnsi="Calibri"/>
          <w:i/>
          <w:iCs/>
          <w:sz w:val="24"/>
          <w:szCs w:val="24"/>
        </w:rPr>
        <w:t>Erwartet wird die Ausführung von Pro- und Contra-Argumenten zu der These sowie die Formulierung einer eigenen Position zur Frage, ob durch Chinas Rolle im Sicherheitsrat Menschenrechte gesichtert werden können:</w:t>
      </w:r>
    </w:p>
    <w:p>
      <w:pPr>
        <w:pStyle w:val="Normal"/>
        <w:suppressLineNumbers/>
        <w:jc w:val="both"/>
        <w:rPr>
          <w:rFonts w:ascii="Calibri" w:hAnsi="Calibri"/>
          <w:sz w:val="24"/>
          <w:szCs w:val="24"/>
        </w:rPr>
      </w:pPr>
      <w:r>
        <w:rPr>
          <w:rFonts w:ascii="Calibri" w:hAnsi="Calibri"/>
          <w:sz w:val="24"/>
          <w:szCs w:val="24"/>
        </w:rPr>
      </w:r>
    </w:p>
    <w:p>
      <w:pPr>
        <w:pStyle w:val="Normal"/>
        <w:suppressLineNumbers/>
        <w:jc w:val="both"/>
        <w:rPr>
          <w:rFonts w:ascii="Calibri" w:hAnsi="Calibri" w:eastAsia="Noto Sans CJK SC Regular" w:cs="Lohit Devanagari"/>
          <w:color w:val="auto"/>
          <w:kern w:val="2"/>
          <w:sz w:val="22"/>
          <w:szCs w:val="22"/>
          <w:lang w:val="de-DE" w:eastAsia="zh-CN" w:bidi="hi-IN"/>
        </w:rPr>
      </w:pPr>
      <w:r>
        <w:rPr>
          <w:rFonts w:eastAsia="Noto Sans CJK SC Regular" w:cs="Lohit Devanagari" w:ascii="Calibri" w:hAnsi="Calibri"/>
          <w:color w:val="auto"/>
          <w:kern w:val="2"/>
          <w:sz w:val="22"/>
          <w:szCs w:val="22"/>
          <w:lang w:val="de-DE" w:eastAsia="zh-CN" w:bidi="hi-IN"/>
        </w:rPr>
        <w:t>mögliche Argumente könnten sein:</w:t>
      </w:r>
    </w:p>
    <w:tbl>
      <w:tblPr>
        <w:tblW w:w="99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5" w:type="dxa"/>
          <w:bottom w:w="55" w:type="dxa"/>
          <w:right w:w="55" w:type="dxa"/>
        </w:tblCellMar>
      </w:tblPr>
      <w:tblGrid>
        <w:gridCol w:w="4986"/>
        <w:gridCol w:w="4985"/>
      </w:tblGrid>
      <w:tr>
        <w:trPr/>
        <w:tc>
          <w:tcPr>
            <w:tcW w:w="49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center"/>
              <w:rPr>
                <w:rFonts w:ascii="Calibri" w:hAnsi="Calibri" w:eastAsia="Noto Sans CJK SC Regular" w:cs="Lohit Devanagari"/>
                <w:color w:val="auto"/>
                <w:kern w:val="2"/>
                <w:sz w:val="22"/>
                <w:szCs w:val="22"/>
                <w:lang w:val="de-DE" w:eastAsia="zh-CN" w:bidi="hi-IN"/>
              </w:rPr>
            </w:pPr>
            <w:r>
              <w:rPr>
                <w:rFonts w:eastAsia="Noto Sans CJK SC Regular" w:cs="Lohit Devanagari" w:ascii="Calibri" w:hAnsi="Calibri"/>
                <w:color w:val="auto"/>
                <w:kern w:val="2"/>
                <w:sz w:val="22"/>
                <w:szCs w:val="22"/>
                <w:lang w:val="de-DE" w:eastAsia="zh-CN" w:bidi="hi-IN"/>
              </w:rPr>
              <w:t>Pro</w:t>
            </w:r>
          </w:p>
        </w:tc>
        <w:tc>
          <w:tcPr>
            <w:tcW w:w="49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center"/>
              <w:rPr>
                <w:rFonts w:ascii="Calibri" w:hAnsi="Calibri" w:eastAsia="Noto Sans CJK SC Regular" w:cs="Lohit Devanagari"/>
                <w:color w:val="auto"/>
                <w:kern w:val="2"/>
                <w:sz w:val="22"/>
                <w:szCs w:val="22"/>
                <w:lang w:val="de-DE" w:eastAsia="zh-CN" w:bidi="hi-IN"/>
              </w:rPr>
            </w:pPr>
            <w:r>
              <w:rPr>
                <w:rFonts w:eastAsia="Noto Sans CJK SC Regular" w:cs="Lohit Devanagari" w:ascii="Calibri" w:hAnsi="Calibri"/>
                <w:color w:val="auto"/>
                <w:kern w:val="2"/>
                <w:sz w:val="22"/>
                <w:szCs w:val="22"/>
                <w:lang w:val="de-DE" w:eastAsia="zh-CN" w:bidi="hi-IN"/>
              </w:rPr>
              <w:t>Contra</w:t>
            </w:r>
          </w:p>
        </w:tc>
      </w:tr>
      <w:tr>
        <w:trPr/>
        <w:tc>
          <w:tcPr>
            <w:tcW w:w="49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numPr>
                <w:ilvl w:val="0"/>
                <w:numId w:val="1"/>
              </w:numPr>
              <w:rPr>
                <w:rFonts w:ascii="Calibri" w:hAnsi="Calibri" w:eastAsia="Noto Sans CJK SC Regular" w:cs="Lohit Devanagari"/>
                <w:color w:val="auto"/>
                <w:kern w:val="2"/>
                <w:sz w:val="22"/>
                <w:szCs w:val="22"/>
                <w:lang w:val="de-DE" w:eastAsia="zh-CN" w:bidi="hi-IN"/>
              </w:rPr>
            </w:pPr>
            <w:r>
              <w:rPr>
                <w:rFonts w:eastAsia="Noto Sans CJK SC Regular" w:cs="Lohit Devanagari" w:ascii="Calibri" w:hAnsi="Calibri"/>
                <w:color w:val="auto"/>
                <w:kern w:val="2"/>
                <w:sz w:val="22"/>
                <w:szCs w:val="22"/>
                <w:lang w:val="de-DE" w:eastAsia="zh-CN" w:bidi="hi-IN"/>
              </w:rPr>
              <w:t>UN hat sich das Ziel gesetzt, Menschenrechte zu schützen.</w:t>
            </w:r>
          </w:p>
          <w:p>
            <w:pPr>
              <w:pStyle w:val="Tabelleninhalt"/>
              <w:numPr>
                <w:ilvl w:val="0"/>
                <w:numId w:val="1"/>
              </w:numPr>
              <w:rPr>
                <w:rFonts w:ascii="Calibri" w:hAnsi="Calibri" w:eastAsia="Noto Sans CJK SC Regular" w:cs="Lohit Devanagari"/>
                <w:color w:val="auto"/>
                <w:kern w:val="2"/>
                <w:sz w:val="22"/>
                <w:szCs w:val="22"/>
                <w:lang w:val="de-DE" w:eastAsia="zh-CN" w:bidi="hi-IN"/>
              </w:rPr>
            </w:pPr>
            <w:r>
              <w:rPr>
                <w:rFonts w:eastAsia="Noto Sans CJK SC Regular" w:cs="Lohit Devanagari" w:ascii="Calibri" w:hAnsi="Calibri"/>
                <w:color w:val="auto"/>
                <w:kern w:val="2"/>
                <w:sz w:val="22"/>
                <w:szCs w:val="22"/>
                <w:lang w:val="de-DE" w:eastAsia="zh-CN" w:bidi="hi-IN"/>
              </w:rPr>
              <w:t>Durch die große Zahl der Mitglieder und die damit verbundene Aufmerksamkeit sowie die Möglichkeit, Menschenrechtsverletzungen zu sanktionieren, bietet der Sicherheitsrat grundsätzlich ein geeignetes Forum zur Durchsetzung von Menschenrechten.</w:t>
            </w:r>
          </w:p>
        </w:tc>
        <w:tc>
          <w:tcPr>
            <w:tcW w:w="49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numPr>
                <w:ilvl w:val="0"/>
                <w:numId w:val="1"/>
              </w:numPr>
              <w:rPr>
                <w:rFonts w:ascii="Calibri" w:hAnsi="Calibri" w:eastAsia="Noto Sans CJK SC Regular" w:cs="Lohit Devanagari"/>
                <w:color w:val="auto"/>
                <w:kern w:val="2"/>
                <w:sz w:val="22"/>
                <w:szCs w:val="22"/>
                <w:lang w:val="de-DE" w:eastAsia="zh-CN" w:bidi="hi-IN"/>
              </w:rPr>
            </w:pPr>
            <w:r>
              <w:rPr>
                <w:rFonts w:eastAsia="Noto Sans CJK SC Regular" w:cs="Lohit Devanagari" w:ascii="Calibri" w:hAnsi="Calibri"/>
                <w:color w:val="auto"/>
                <w:kern w:val="2"/>
                <w:sz w:val="22"/>
                <w:szCs w:val="22"/>
                <w:lang w:val="de-DE" w:eastAsia="zh-CN" w:bidi="hi-IN"/>
              </w:rPr>
              <w:t>Sicherheitsrat als Mittel zur Wahrung von Eigeninteressen.</w:t>
            </w:r>
          </w:p>
          <w:p>
            <w:pPr>
              <w:pStyle w:val="Tabelleninhalt"/>
              <w:numPr>
                <w:ilvl w:val="0"/>
                <w:numId w:val="1"/>
              </w:numPr>
              <w:rPr>
                <w:rFonts w:ascii="Calibri" w:hAnsi="Calibri" w:eastAsia="Noto Sans CJK SC Regular" w:cs="Lohit Devanagari"/>
                <w:color w:val="auto"/>
                <w:kern w:val="2"/>
                <w:sz w:val="22"/>
                <w:szCs w:val="22"/>
                <w:lang w:val="de-DE" w:eastAsia="zh-CN" w:bidi="hi-IN"/>
              </w:rPr>
            </w:pPr>
            <w:r>
              <w:rPr>
                <w:rFonts w:eastAsia="Noto Sans CJK SC Regular" w:cs="Lohit Devanagari" w:ascii="Calibri" w:hAnsi="Calibri"/>
                <w:color w:val="auto"/>
                <w:kern w:val="2"/>
                <w:sz w:val="22"/>
                <w:szCs w:val="22"/>
                <w:lang w:val="de-DE" w:eastAsia="zh-CN" w:bidi="hi-IN"/>
              </w:rPr>
              <w:t>Diese sind nicht unbedingt die Wahrung von Menschenrechten.</w:t>
            </w:r>
          </w:p>
          <w:p>
            <w:pPr>
              <w:pStyle w:val="Tabelleninhalt"/>
              <w:numPr>
                <w:ilvl w:val="0"/>
                <w:numId w:val="1"/>
              </w:numPr>
              <w:rPr>
                <w:rFonts w:ascii="Calibri" w:hAnsi="Calibri" w:eastAsia="Noto Sans CJK SC Regular" w:cs="Lohit Devanagari"/>
                <w:color w:val="auto"/>
                <w:kern w:val="2"/>
                <w:sz w:val="22"/>
                <w:szCs w:val="22"/>
                <w:lang w:val="de-DE" w:eastAsia="zh-CN" w:bidi="hi-IN"/>
              </w:rPr>
            </w:pPr>
            <w:r>
              <w:rPr>
                <w:rFonts w:eastAsia="Noto Sans CJK SC Regular" w:cs="Lohit Devanagari" w:ascii="Calibri" w:hAnsi="Calibri"/>
                <w:color w:val="auto"/>
                <w:kern w:val="2"/>
                <w:sz w:val="22"/>
                <w:szCs w:val="22"/>
                <w:lang w:val="de-DE" w:eastAsia="zh-CN" w:bidi="hi-IN"/>
              </w:rPr>
              <w:t>Das gilt dann auch für die anderen ständigen Mitglieder, die aufgrund des VETO-Rechts etwaige Vorstöße blockieren könnten.</w:t>
            </w:r>
          </w:p>
        </w:tc>
      </w:tr>
    </w:tbl>
    <w:p>
      <w:pPr>
        <w:pStyle w:val="Normal"/>
        <w:suppressLineNumbers/>
        <w:jc w:val="both"/>
        <w:rPr>
          <w:rFonts w:ascii="Calibri" w:hAnsi="Calibri" w:eastAsia="Noto Sans CJK SC Regular" w:cs="Lohit Devanagari"/>
          <w:color w:val="auto"/>
          <w:kern w:val="2"/>
          <w:sz w:val="22"/>
          <w:szCs w:val="22"/>
          <w:lang w:val="de-DE" w:eastAsia="zh-CN" w:bidi="hi-IN"/>
        </w:rPr>
      </w:pPr>
      <w:r>
        <w:rPr>
          <w:rFonts w:eastAsia="Noto Sans CJK SC Regular" w:cs="Lohit Devanagari" w:ascii="Calibri" w:hAnsi="Calibri"/>
          <w:color w:val="auto"/>
          <w:kern w:val="2"/>
          <w:sz w:val="22"/>
          <w:szCs w:val="22"/>
          <w:lang w:val="de-DE" w:eastAsia="zh-CN" w:bidi="hi-IN"/>
        </w:rPr>
      </w:r>
    </w:p>
    <w:p>
      <w:pPr>
        <w:pStyle w:val="Normal"/>
        <w:suppressLineNumbers/>
        <w:rPr>
          <w:rFonts w:ascii="Calibri" w:hAnsi="Calibri"/>
          <w:b/>
          <w:b/>
          <w:bCs/>
          <w:sz w:val="24"/>
          <w:szCs w:val="24"/>
          <w:u w:val="single"/>
        </w:rPr>
      </w:pPr>
      <w:r>
        <w:rPr>
          <w:rFonts w:ascii="Calibri" w:hAnsi="Calibri"/>
          <w:b/>
          <w:bCs/>
          <w:sz w:val="24"/>
          <w:szCs w:val="24"/>
          <w:u w:val="single"/>
        </w:rPr>
        <w:t>Mögliche Aspekte für das Kolloquium im Schwerpunktfach:</w:t>
      </w:r>
    </w:p>
    <w:p>
      <w:pPr>
        <w:pStyle w:val="Normal"/>
        <w:suppressLineNumbers/>
        <w:rPr/>
      </w:pPr>
      <w:r>
        <w:rPr>
          <w:rFonts w:eastAsia="Noto Sans CJK SC Regular" w:cs="Lohit Devanagari" w:ascii="Calibri" w:hAnsi="Calibri"/>
          <w:b w:val="false"/>
          <w:bCs w:val="false"/>
          <w:color w:val="auto"/>
          <w:kern w:val="2"/>
          <w:sz w:val="24"/>
          <w:szCs w:val="24"/>
          <w:lang w:val="de-DE" w:eastAsia="zh-CN" w:bidi="hi-IN"/>
        </w:rPr>
        <w:t>Alternativen zur Durchsetzung von Menschenrechten</w:t>
      </w:r>
    </w:p>
    <w:p>
      <w:pPr>
        <w:pStyle w:val="Normal"/>
        <w:suppressLineNumbers/>
        <w:rPr/>
      </w:pPr>
      <w:r>
        <w:rPr>
          <w:rFonts w:eastAsia="Noto Sans CJK SC Regular" w:cs="Lohit Devanagari" w:ascii="Calibri" w:hAnsi="Calibri"/>
          <w:b w:val="false"/>
          <w:bCs w:val="false"/>
          <w:color w:val="auto"/>
          <w:kern w:val="2"/>
          <w:sz w:val="24"/>
          <w:szCs w:val="24"/>
          <w:lang w:val="de-DE" w:eastAsia="zh-CN" w:bidi="hi-IN"/>
        </w:rPr>
        <w:t>Bedeutung von Menschenrechten für die internationale Politik</w:t>
      </w:r>
      <w:r>
        <w:br w:type="page"/>
      </w:r>
    </w:p>
    <w:p>
      <w:pPr>
        <w:pStyle w:val="Normal"/>
        <w:suppressLineNumbers/>
        <w:rPr/>
      </w:pPr>
      <w:r>
        <w:rPr/>
      </w:r>
    </w:p>
    <w:tbl>
      <w:tblPr>
        <w:tblStyle w:val="Tabellenraster"/>
        <w:tblW w:w="9346" w:type="dxa"/>
        <w:jc w:val="left"/>
        <w:tblInd w:w="0" w:type="dxa"/>
        <w:tblBorders/>
        <w:tblCellMar>
          <w:top w:w="0" w:type="dxa"/>
          <w:left w:w="108" w:type="dxa"/>
          <w:bottom w:w="0" w:type="dxa"/>
          <w:right w:w="108" w:type="dxa"/>
        </w:tblCellMar>
        <w:tblLook w:noVBand="1" w:val="04a0" w:noHBand="0" w:lastColumn="0" w:firstColumn="1" w:lastRow="0" w:firstRow="1"/>
      </w:tblPr>
      <w:tblGrid>
        <w:gridCol w:w="2793"/>
        <w:gridCol w:w="3276"/>
        <w:gridCol w:w="3277"/>
      </w:tblGrid>
      <w:tr>
        <w:trPr/>
        <w:tc>
          <w:tcPr>
            <w:tcW w:w="2793" w:type="dxa"/>
            <w:tcBorders/>
            <w:shd w:color="auto" w:fill="92D050" w:val="clear"/>
          </w:tcPr>
          <w:p>
            <w:pPr>
              <w:pStyle w:val="Normal"/>
              <w:spacing w:lineRule="auto" w:line="240" w:before="0" w:after="0"/>
              <w:rPr/>
            </w:pPr>
            <w:r>
              <w:rPr>
                <w:rFonts w:ascii="Calibri" w:hAnsi="Calibri"/>
                <w:b/>
                <w:sz w:val="24"/>
                <w:szCs w:val="24"/>
              </w:rPr>
              <w:t>Bildungsplanbezug</w:t>
            </w:r>
          </w:p>
        </w:tc>
        <w:tc>
          <w:tcPr>
            <w:tcW w:w="3276" w:type="dxa"/>
            <w:tcBorders/>
            <w:shd w:color="auto" w:fill="92D050" w:val="clear"/>
          </w:tcPr>
          <w:p>
            <w:pPr>
              <w:pStyle w:val="Normal"/>
              <w:spacing w:lineRule="auto" w:line="240" w:before="0" w:after="0"/>
              <w:jc w:val="center"/>
              <w:rPr/>
            </w:pPr>
            <w:r>
              <w:rPr>
                <w:rFonts w:ascii="Calibri" w:hAnsi="Calibri"/>
                <w:b/>
                <w:sz w:val="24"/>
                <w:szCs w:val="24"/>
              </w:rPr>
              <w:t>Bildungsplan 2004</w:t>
            </w:r>
          </w:p>
        </w:tc>
        <w:tc>
          <w:tcPr>
            <w:tcW w:w="3277" w:type="dxa"/>
            <w:tcBorders/>
            <w:shd w:color="auto" w:fill="92D050" w:val="clear"/>
          </w:tcPr>
          <w:p>
            <w:pPr>
              <w:pStyle w:val="Normal"/>
              <w:spacing w:lineRule="auto" w:line="240" w:before="0" w:after="0"/>
              <w:jc w:val="center"/>
              <w:rPr/>
            </w:pPr>
            <w:r>
              <w:rPr>
                <w:rFonts w:ascii="Calibri" w:hAnsi="Calibri"/>
                <w:b/>
                <w:sz w:val="24"/>
                <w:szCs w:val="24"/>
              </w:rPr>
              <w:t>Bildungsplan 2016</w:t>
            </w:r>
          </w:p>
        </w:tc>
      </w:tr>
      <w:tr>
        <w:trPr/>
        <w:tc>
          <w:tcPr>
            <w:tcW w:w="2793" w:type="dxa"/>
            <w:tcBorders/>
            <w:shd w:fill="auto" w:val="clear"/>
          </w:tcPr>
          <w:p>
            <w:pPr>
              <w:pStyle w:val="Normal"/>
              <w:spacing w:lineRule="auto" w:line="240" w:before="0" w:after="0"/>
              <w:rPr>
                <w:rFonts w:ascii="Calibri" w:hAnsi="Calibri"/>
                <w:sz w:val="24"/>
                <w:szCs w:val="24"/>
              </w:rPr>
            </w:pPr>
            <w:r>
              <w:rPr>
                <w:rFonts w:ascii="Calibri" w:hAnsi="Calibri"/>
                <w:sz w:val="24"/>
                <w:szCs w:val="24"/>
              </w:rPr>
            </w:r>
          </w:p>
          <w:p>
            <w:pPr>
              <w:pStyle w:val="Normal"/>
              <w:spacing w:lineRule="auto" w:line="240" w:before="0" w:after="0"/>
              <w:rPr/>
            </w:pPr>
            <w:r>
              <w:rPr>
                <w:rFonts w:ascii="Calibri" w:hAnsi="Calibri"/>
                <w:sz w:val="24"/>
                <w:szCs w:val="24"/>
              </w:rPr>
              <w:t>Inhaltsbezogene Standards</w:t>
            </w:r>
          </w:p>
        </w:tc>
        <w:tc>
          <w:tcPr>
            <w:tcW w:w="3276" w:type="dxa"/>
            <w:tcBorders/>
            <w:shd w:fill="auto" w:val="clear"/>
          </w:tcPr>
          <w:p>
            <w:pPr>
              <w:pStyle w:val="Normal"/>
              <w:spacing w:lineRule="auto" w:line="240" w:before="0" w:after="0"/>
              <w:rPr>
                <w:rFonts w:ascii="Calibri" w:hAnsi="Calibri"/>
                <w:b w:val="false"/>
                <w:b w:val="false"/>
                <w:bCs w:val="false"/>
              </w:rPr>
            </w:pPr>
            <w:r>
              <w:rPr>
                <w:rFonts w:ascii="Calibri" w:hAnsi="Calibri"/>
                <w:b w:val="false"/>
                <w:bCs w:val="false"/>
              </w:rPr>
            </w:r>
          </w:p>
          <w:p>
            <w:pPr>
              <w:pStyle w:val="Normal"/>
              <w:spacing w:lineRule="auto" w:line="240" w:before="0" w:after="0"/>
              <w:rPr/>
            </w:pPr>
            <w:r>
              <w:rPr>
                <w:rFonts w:ascii="Calibri" w:hAnsi="Calibri"/>
                <w:b w:val="false"/>
                <w:bCs w:val="false"/>
                <w:sz w:val="24"/>
                <w:szCs w:val="24"/>
              </w:rPr>
              <w:t>2.2 Friedenssicherung und Konfliktbewältigung</w:t>
            </w:r>
          </w:p>
          <w:p>
            <w:pPr>
              <w:pStyle w:val="Normal"/>
              <w:spacing w:lineRule="auto" w:line="240" w:before="0" w:after="0"/>
              <w:rPr>
                <w:rFonts w:ascii="Calibri" w:hAnsi="Calibri"/>
                <w:b w:val="false"/>
                <w:b w:val="false"/>
                <w:bCs w:val="false"/>
              </w:rPr>
            </w:pPr>
            <w:r>
              <w:rPr>
                <w:rFonts w:ascii="Calibri" w:hAnsi="Calibri"/>
                <w:b w:val="false"/>
                <w:bCs w:val="false"/>
              </w:rPr>
            </w:r>
          </w:p>
          <w:p>
            <w:pPr>
              <w:pStyle w:val="Normal"/>
              <w:spacing w:lineRule="auto" w:line="240" w:before="0" w:after="0"/>
              <w:rPr>
                <w:rFonts w:ascii="Calibri" w:hAnsi="Calibri"/>
                <w:b w:val="false"/>
                <w:b w:val="false"/>
                <w:bCs w:val="false"/>
              </w:rPr>
            </w:pPr>
            <w:r>
              <w:rPr>
                <w:rFonts w:ascii="Calibri" w:hAnsi="Calibri"/>
                <w:b w:val="false"/>
                <w:bCs w:val="false"/>
              </w:rPr>
              <w:t>einen Überblick über die internationale Ordnung geben</w:t>
            </w:r>
          </w:p>
          <w:p>
            <w:pPr>
              <w:pStyle w:val="Normal"/>
              <w:spacing w:lineRule="auto" w:line="240" w:before="0" w:after="0"/>
              <w:rPr>
                <w:rFonts w:ascii="Calibri" w:hAnsi="Calibri"/>
                <w:b w:val="false"/>
                <w:b w:val="false"/>
                <w:bCs w:val="false"/>
              </w:rPr>
            </w:pPr>
            <w:r>
              <w:rPr>
                <w:rFonts w:ascii="Calibri" w:hAnsi="Calibri"/>
                <w:b w:val="false"/>
                <w:bCs w:val="false"/>
              </w:rPr>
            </w:r>
          </w:p>
          <w:p>
            <w:pPr>
              <w:pStyle w:val="Normal"/>
              <w:spacing w:lineRule="auto" w:line="240" w:before="0" w:after="0"/>
              <w:rPr>
                <w:rFonts w:ascii="Calibri" w:hAnsi="Calibri"/>
                <w:b w:val="false"/>
                <w:b w:val="false"/>
                <w:bCs w:val="false"/>
                <w:sz w:val="24"/>
                <w:szCs w:val="24"/>
              </w:rPr>
            </w:pPr>
            <w:r>
              <w:rPr>
                <w:rFonts w:ascii="Calibri" w:hAnsi="Calibri"/>
                <w:b w:val="false"/>
                <w:bCs w:val="false"/>
                <w:sz w:val="24"/>
                <w:szCs w:val="24"/>
              </w:rPr>
              <w:t>Exemplarische Darstellung und Beurteilung sicherheitspolitischer Herausforderungen und Lösungsversuche</w:t>
            </w:r>
          </w:p>
          <w:p>
            <w:pPr>
              <w:pStyle w:val="Normal"/>
              <w:spacing w:lineRule="auto" w:line="240" w:before="0" w:after="0"/>
              <w:rPr>
                <w:rFonts w:ascii="Calibri" w:hAnsi="Calibri"/>
                <w:b w:val="false"/>
                <w:b w:val="false"/>
                <w:bCs w:val="false"/>
              </w:rPr>
            </w:pPr>
            <w:r>
              <w:rPr>
                <w:rFonts w:ascii="Calibri" w:hAnsi="Calibri"/>
                <w:b w:val="false"/>
                <w:bCs w:val="false"/>
              </w:rPr>
            </w:r>
          </w:p>
          <w:p>
            <w:pPr>
              <w:pStyle w:val="Normal"/>
              <w:spacing w:lineRule="auto" w:line="240" w:before="0" w:after="0"/>
              <w:rPr/>
            </w:pPr>
            <w:r>
              <w:rPr>
                <w:rFonts w:ascii="Calibri" w:hAnsi="Calibri"/>
                <w:b w:val="false"/>
                <w:bCs w:val="false"/>
                <w:sz w:val="24"/>
                <w:szCs w:val="24"/>
              </w:rPr>
              <w:t>Bewertung der sicherheitspolitischen Leistung von internationalen Organisationen</w:t>
            </w:r>
          </w:p>
          <w:p>
            <w:pPr>
              <w:pStyle w:val="Normal"/>
              <w:spacing w:lineRule="auto" w:line="240" w:before="0" w:after="0"/>
              <w:rPr>
                <w:rFonts w:ascii="Calibri" w:hAnsi="Calibri"/>
                <w:sz w:val="24"/>
                <w:szCs w:val="24"/>
              </w:rPr>
            </w:pPr>
            <w:r>
              <w:rPr>
                <w:rFonts w:ascii="Calibri" w:hAnsi="Calibri"/>
                <w:sz w:val="24"/>
                <w:szCs w:val="24"/>
              </w:rPr>
            </w:r>
          </w:p>
        </w:tc>
        <w:tc>
          <w:tcPr>
            <w:tcW w:w="3277" w:type="dxa"/>
            <w:tcBorders/>
            <w:shd w:fill="auto" w:val="clear"/>
          </w:tcPr>
          <w:p>
            <w:pPr>
              <w:pStyle w:val="Normal"/>
              <w:spacing w:lineRule="auto" w:line="240" w:before="0" w:after="0"/>
              <w:rPr>
                <w:rFonts w:ascii="Calibri" w:hAnsi="Calibri"/>
                <w:b w:val="false"/>
                <w:b w:val="false"/>
                <w:bCs w:val="false"/>
                <w:sz w:val="24"/>
                <w:szCs w:val="24"/>
              </w:rPr>
            </w:pPr>
            <w:r>
              <w:rPr>
                <w:rFonts w:ascii="Calibri" w:hAnsi="Calibri"/>
                <w:b w:val="false"/>
                <w:bCs w:val="false"/>
                <w:sz w:val="24"/>
                <w:szCs w:val="24"/>
              </w:rPr>
            </w:r>
          </w:p>
          <w:p>
            <w:pPr>
              <w:pStyle w:val="Normal"/>
              <w:spacing w:lineRule="auto" w:line="240" w:before="0" w:after="0"/>
              <w:rPr>
                <w:rFonts w:ascii="Calibri" w:hAnsi="Calibri"/>
                <w:b w:val="false"/>
                <w:b w:val="false"/>
                <w:bCs w:val="false"/>
                <w:sz w:val="24"/>
                <w:szCs w:val="24"/>
              </w:rPr>
            </w:pPr>
            <w:r>
              <w:rPr>
                <w:rFonts w:ascii="Calibri" w:hAnsi="Calibri"/>
                <w:b w:val="false"/>
                <w:bCs w:val="false"/>
                <w:sz w:val="24"/>
                <w:szCs w:val="24"/>
              </w:rPr>
              <w:t>3.2.1.1. Grundlagen des internationalen Systems</w:t>
            </w:r>
          </w:p>
          <w:p>
            <w:pPr>
              <w:pStyle w:val="Normal"/>
              <w:spacing w:lineRule="auto" w:line="240" w:before="0" w:after="0"/>
              <w:rPr>
                <w:rFonts w:ascii="Calibri" w:hAnsi="Calibri"/>
                <w:b w:val="false"/>
                <w:b w:val="false"/>
                <w:bCs w:val="false"/>
                <w:sz w:val="24"/>
                <w:szCs w:val="24"/>
              </w:rPr>
            </w:pPr>
            <w:r>
              <w:rPr>
                <w:rFonts w:ascii="Calibri" w:hAnsi="Calibri"/>
                <w:b w:val="false"/>
                <w:bCs w:val="false"/>
                <w:sz w:val="24"/>
                <w:szCs w:val="24"/>
              </w:rPr>
              <w:t>(1)</w:t>
            </w:r>
          </w:p>
          <w:p>
            <w:pPr>
              <w:pStyle w:val="Normal"/>
              <w:spacing w:lineRule="auto" w:line="240" w:before="0" w:after="0"/>
              <w:rPr>
                <w:rFonts w:ascii="Calibri" w:hAnsi="Calibri"/>
                <w:b w:val="false"/>
                <w:b w:val="false"/>
                <w:bCs w:val="false"/>
                <w:sz w:val="24"/>
                <w:szCs w:val="24"/>
              </w:rPr>
            </w:pPr>
            <w:r>
              <w:rPr>
                <w:rFonts w:ascii="Calibri" w:hAnsi="Calibri"/>
                <w:b w:val="false"/>
                <w:bCs w:val="false"/>
                <w:sz w:val="24"/>
                <w:szCs w:val="24"/>
              </w:rPr>
            </w:r>
          </w:p>
          <w:p>
            <w:pPr>
              <w:pStyle w:val="Normal"/>
              <w:spacing w:lineRule="auto" w:line="240" w:before="0" w:after="0"/>
              <w:rPr>
                <w:rFonts w:ascii="Calibri" w:hAnsi="Calibri"/>
                <w:b w:val="false"/>
                <w:b w:val="false"/>
                <w:bCs w:val="false"/>
                <w:sz w:val="24"/>
                <w:szCs w:val="24"/>
              </w:rPr>
            </w:pPr>
            <w:r>
              <w:rPr>
                <w:rFonts w:ascii="Calibri" w:hAnsi="Calibri"/>
                <w:b w:val="false"/>
                <w:bCs w:val="false"/>
                <w:sz w:val="24"/>
                <w:szCs w:val="24"/>
              </w:rPr>
              <w:t>3.2.1.4. Globale Regieren</w:t>
            </w:r>
          </w:p>
          <w:p>
            <w:pPr>
              <w:pStyle w:val="Normal"/>
              <w:spacing w:lineRule="auto" w:line="240" w:before="0" w:after="0"/>
              <w:rPr/>
            </w:pPr>
            <w:r>
              <w:rPr>
                <w:rFonts w:ascii="Calibri" w:hAnsi="Calibri"/>
                <w:b w:val="false"/>
                <w:bCs w:val="false"/>
                <w:sz w:val="24"/>
                <w:szCs w:val="24"/>
              </w:rPr>
              <w:t>(2)</w:t>
            </w:r>
          </w:p>
        </w:tc>
      </w:tr>
      <w:tr>
        <w:trPr/>
        <w:tc>
          <w:tcPr>
            <w:tcW w:w="2793" w:type="dxa"/>
            <w:tcBorders/>
            <w:shd w:fill="auto" w:val="clear"/>
          </w:tcPr>
          <w:p>
            <w:pPr>
              <w:pStyle w:val="Normal"/>
              <w:spacing w:lineRule="auto" w:line="240" w:before="0" w:after="0"/>
              <w:rPr>
                <w:rFonts w:ascii="Calibri" w:hAnsi="Calibri"/>
                <w:sz w:val="24"/>
                <w:szCs w:val="24"/>
              </w:rPr>
            </w:pPr>
            <w:r>
              <w:rPr>
                <w:rFonts w:ascii="Calibri" w:hAnsi="Calibri"/>
                <w:sz w:val="24"/>
                <w:szCs w:val="24"/>
              </w:rPr>
            </w:r>
          </w:p>
          <w:p>
            <w:pPr>
              <w:pStyle w:val="Normal"/>
              <w:spacing w:lineRule="auto" w:line="240" w:before="0" w:after="0"/>
              <w:rPr/>
            </w:pPr>
            <w:r>
              <w:rPr>
                <w:rFonts w:ascii="Calibri" w:hAnsi="Calibri"/>
                <w:sz w:val="24"/>
                <w:szCs w:val="24"/>
              </w:rPr>
              <w:t>Kompetenzerwerb/</w:t>
            </w:r>
          </w:p>
          <w:p>
            <w:pPr>
              <w:pStyle w:val="Normal"/>
              <w:spacing w:lineRule="auto" w:line="240" w:before="0" w:after="0"/>
              <w:rPr/>
            </w:pPr>
            <w:r>
              <w:rPr>
                <w:rFonts w:ascii="Calibri" w:hAnsi="Calibri"/>
                <w:sz w:val="24"/>
                <w:szCs w:val="24"/>
              </w:rPr>
              <w:t>Prozessbezogene Standards</w:t>
            </w:r>
          </w:p>
        </w:tc>
        <w:tc>
          <w:tcPr>
            <w:tcW w:w="3276" w:type="dxa"/>
            <w:tcBorders/>
            <w:shd w:fill="auto" w:val="clear"/>
          </w:tcPr>
          <w:p>
            <w:pPr>
              <w:pStyle w:val="Normal"/>
              <w:spacing w:lineRule="auto" w:line="240" w:before="0" w:after="0"/>
              <w:rPr>
                <w:rFonts w:ascii="Calibri" w:hAnsi="Calibri"/>
                <w:sz w:val="24"/>
                <w:szCs w:val="24"/>
              </w:rPr>
            </w:pPr>
            <w:r>
              <w:rPr>
                <w:rFonts w:ascii="Calibri" w:hAnsi="Calibri"/>
                <w:sz w:val="24"/>
                <w:szCs w:val="24"/>
              </w:rPr>
            </w:r>
          </w:p>
          <w:p>
            <w:pPr>
              <w:pStyle w:val="Normal"/>
              <w:spacing w:lineRule="auto" w:line="240" w:before="0" w:after="0"/>
              <w:rPr/>
            </w:pPr>
            <w:r>
              <w:rPr>
                <w:rFonts w:ascii="Calibri" w:hAnsi="Calibri"/>
                <w:sz w:val="24"/>
                <w:szCs w:val="24"/>
              </w:rPr>
              <w:t xml:space="preserve">Durchführung von Problemanalysen mithilfe politischer Kategorien </w:t>
            </w:r>
          </w:p>
          <w:p>
            <w:pPr>
              <w:pStyle w:val="Normal"/>
              <w:spacing w:lineRule="auto" w:line="240" w:before="0" w:after="0"/>
              <w:rPr>
                <w:rFonts w:ascii="Calibri" w:hAnsi="Calibri"/>
                <w:sz w:val="24"/>
                <w:szCs w:val="24"/>
              </w:rPr>
            </w:pPr>
            <w:r>
              <w:rPr>
                <w:rFonts w:ascii="Calibri" w:hAnsi="Calibri"/>
                <w:sz w:val="24"/>
                <w:szCs w:val="24"/>
              </w:rPr>
            </w:r>
          </w:p>
          <w:p>
            <w:pPr>
              <w:pStyle w:val="Normal"/>
              <w:spacing w:lineRule="auto" w:line="240" w:before="0" w:after="0"/>
              <w:rPr/>
            </w:pPr>
            <w:r>
              <w:rPr>
                <w:rFonts w:ascii="Calibri" w:hAnsi="Calibri"/>
                <w:sz w:val="24"/>
                <w:szCs w:val="24"/>
              </w:rPr>
              <w:t>Urteilskompetenz: Bildung einer eigenen Meinung</w:t>
            </w:r>
          </w:p>
        </w:tc>
        <w:tc>
          <w:tcPr>
            <w:tcW w:w="3277" w:type="dxa"/>
            <w:tcBorders/>
            <w:shd w:fill="auto" w:val="clear"/>
          </w:tcPr>
          <w:p>
            <w:pPr>
              <w:pStyle w:val="Normal"/>
              <w:spacing w:lineRule="auto" w:line="240" w:before="0" w:after="0"/>
              <w:rPr>
                <w:rFonts w:ascii="Calibri" w:hAnsi="Calibri"/>
                <w:b/>
                <w:b/>
                <w:sz w:val="24"/>
                <w:szCs w:val="24"/>
              </w:rPr>
            </w:pPr>
            <w:r>
              <w:rPr>
                <w:rFonts w:ascii="Calibri" w:hAnsi="Calibri"/>
                <w:b/>
                <w:sz w:val="24"/>
                <w:szCs w:val="24"/>
              </w:rPr>
            </w:r>
          </w:p>
          <w:p>
            <w:pPr>
              <w:pStyle w:val="Normal"/>
              <w:spacing w:lineRule="auto" w:line="240" w:before="0" w:after="0"/>
              <w:rPr/>
            </w:pPr>
            <w:bookmarkStart w:id="0" w:name="_GoBack1"/>
            <w:bookmarkEnd w:id="0"/>
            <w:r>
              <w:rPr>
                <w:rFonts w:ascii="Calibri" w:hAnsi="Calibri"/>
                <w:b w:val="false"/>
                <w:bCs w:val="false"/>
                <w:sz w:val="24"/>
                <w:szCs w:val="24"/>
              </w:rPr>
              <w:t>2.1 Analysekompetenz</w:t>
            </w:r>
          </w:p>
          <w:p>
            <w:pPr>
              <w:pStyle w:val="Normal"/>
              <w:spacing w:lineRule="auto" w:line="240" w:before="0" w:after="0"/>
              <w:rPr/>
            </w:pPr>
            <w:r>
              <w:rPr>
                <w:rFonts w:ascii="Calibri" w:hAnsi="Calibri"/>
                <w:b w:val="false"/>
                <w:bCs w:val="false"/>
                <w:sz w:val="24"/>
                <w:szCs w:val="24"/>
              </w:rPr>
              <w:t>(1); (2)</w:t>
            </w:r>
          </w:p>
          <w:p>
            <w:pPr>
              <w:pStyle w:val="Normal"/>
              <w:spacing w:lineRule="auto" w:line="240" w:before="0" w:after="0"/>
              <w:rPr>
                <w:rFonts w:ascii="Calibri" w:hAnsi="Calibri"/>
                <w:b w:val="false"/>
                <w:b w:val="false"/>
                <w:bCs w:val="false"/>
                <w:sz w:val="24"/>
                <w:szCs w:val="24"/>
              </w:rPr>
            </w:pPr>
            <w:r>
              <w:rPr>
                <w:rFonts w:ascii="Calibri" w:hAnsi="Calibri"/>
                <w:b w:val="false"/>
                <w:bCs w:val="false"/>
                <w:sz w:val="24"/>
                <w:szCs w:val="24"/>
              </w:rPr>
            </w:r>
          </w:p>
          <w:p>
            <w:pPr>
              <w:pStyle w:val="Normal"/>
              <w:spacing w:lineRule="auto" w:line="240" w:before="0" w:after="0"/>
              <w:rPr/>
            </w:pPr>
            <w:r>
              <w:rPr>
                <w:rFonts w:ascii="Calibri" w:hAnsi="Calibri"/>
                <w:b w:val="false"/>
                <w:bCs w:val="false"/>
                <w:sz w:val="24"/>
                <w:szCs w:val="24"/>
              </w:rPr>
              <w:t>2.2 Urteilskompetenz</w:t>
            </w:r>
          </w:p>
          <w:p>
            <w:pPr>
              <w:pStyle w:val="Normal"/>
              <w:spacing w:lineRule="auto" w:line="240" w:before="0" w:after="0"/>
              <w:rPr/>
            </w:pPr>
            <w:r>
              <w:rPr>
                <w:rFonts w:ascii="Calibri" w:hAnsi="Calibri"/>
                <w:b w:val="false"/>
                <w:bCs w:val="false"/>
                <w:sz w:val="24"/>
                <w:szCs w:val="24"/>
              </w:rPr>
              <w:t>(1)</w:t>
            </w:r>
          </w:p>
          <w:p>
            <w:pPr>
              <w:pStyle w:val="Normal"/>
              <w:spacing w:lineRule="auto" w:line="240" w:before="0" w:after="0"/>
              <w:rPr>
                <w:rFonts w:ascii="Calibri" w:hAnsi="Calibri"/>
                <w:b w:val="false"/>
                <w:b w:val="false"/>
                <w:bCs w:val="false"/>
                <w:sz w:val="24"/>
                <w:szCs w:val="24"/>
              </w:rPr>
            </w:pPr>
            <w:r>
              <w:rPr>
                <w:rFonts w:ascii="Calibri" w:hAnsi="Calibri"/>
                <w:b w:val="false"/>
                <w:bCs w:val="false"/>
                <w:sz w:val="24"/>
                <w:szCs w:val="24"/>
              </w:rPr>
            </w:r>
          </w:p>
          <w:p>
            <w:pPr>
              <w:pStyle w:val="Normal"/>
              <w:spacing w:lineRule="auto" w:line="240" w:before="0" w:after="0"/>
              <w:rPr/>
            </w:pPr>
            <w:r>
              <w:rPr>
                <w:rFonts w:ascii="Calibri" w:hAnsi="Calibri"/>
                <w:b w:val="false"/>
                <w:bCs w:val="false"/>
                <w:sz w:val="24"/>
                <w:szCs w:val="24"/>
              </w:rPr>
              <w:t>2.4 Methodenkompetenz</w:t>
            </w:r>
          </w:p>
          <w:p>
            <w:pPr>
              <w:pStyle w:val="Normal"/>
              <w:spacing w:lineRule="auto" w:line="240" w:before="0" w:after="0"/>
              <w:rPr/>
            </w:pPr>
            <w:r>
              <w:rPr>
                <w:rFonts w:ascii="Calibri" w:hAnsi="Calibri"/>
                <w:b w:val="false"/>
                <w:bCs w:val="false"/>
                <w:sz w:val="24"/>
                <w:szCs w:val="24"/>
              </w:rPr>
              <w:t>(3)</w:t>
            </w:r>
          </w:p>
        </w:tc>
      </w:tr>
    </w:tbl>
    <w:p>
      <w:pPr>
        <w:pStyle w:val="Normal"/>
        <w:rPr/>
      </w:pPr>
      <w:r>
        <w:rPr/>
      </w:r>
    </w:p>
    <w:sectPr>
      <w:headerReference w:type="default" r:id="rId3"/>
      <w:type w:val="nextPage"/>
      <w:pgSz w:w="12240" w:h="15840"/>
      <w:pgMar w:left="1134" w:right="1134" w:header="1134" w:top="1785" w:footer="0" w:bottom="1134" w:gutter="0"/>
      <w:lnNumType w:countBy="5" w:restart="continuous" w:distance="28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LineNumbers/>
      <w:pBdr>
        <w:bottom w:val="single" w:sz="4" w:space="1" w:color="000000"/>
      </w:pBdr>
      <w:jc w:val="center"/>
      <w:rPr>
        <w:rFonts w:ascii="Calibri" w:hAnsi="Calibri"/>
        <w:b w:val="false"/>
        <w:b w:val="false"/>
        <w:bCs w:val="false"/>
        <w:sz w:val="22"/>
        <w:szCs w:val="22"/>
      </w:rPr>
    </w:pPr>
    <w:r>
      <w:rPr>
        <w:rFonts w:ascii="Calibri" w:hAnsi="Calibri"/>
        <w:b w:val="false"/>
        <w:bCs w:val="false"/>
        <w:sz w:val="22"/>
        <w:szCs w:val="22"/>
      </w:rPr>
      <w:t>ZPG Gemeinschaftskunde – Aufgabenvorschlag Kombinationsprüfung Geographie/Gemeinschaftskunde</w:t>
    </w:r>
  </w:p>
  <w:p>
    <w:pPr>
      <w:pStyle w:val="Normal"/>
      <w:suppressLineNumbers/>
      <w:pBdr>
        <w:bottom w:val="single" w:sz="4" w:space="1" w:color="000000"/>
      </w:pBdr>
      <w:jc w:val="center"/>
      <w:rPr>
        <w:rFonts w:ascii="Calibri" w:hAnsi="Calibri"/>
        <w:b w:val="false"/>
        <w:b w:val="false"/>
        <w:bCs w:val="false"/>
        <w:sz w:val="22"/>
        <w:szCs w:val="22"/>
        <w:u w:val="none"/>
      </w:rPr>
    </w:pPr>
    <w:r>
      <w:rPr>
        <w:rFonts w:ascii="Calibri" w:hAnsi="Calibri"/>
        <w:b w:val="false"/>
        <w:bCs w:val="false"/>
        <w:sz w:val="22"/>
        <w:szCs w:val="22"/>
        <w:u w:val="none"/>
      </w:rPr>
      <w:t>Schwerpunktfach</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0"/>
        <w:szCs w:val="24"/>
        <w:lang w:val="de-D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Regular" w:cs="Lohit Devanagari"/>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character" w:styleId="Zeilennummerierung">
    <w:name w:val="Zeilennummerierung"/>
    <w:rPr>
      <w:sz w:val="16"/>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Aufzhlungszeichen">
    <w:name w:val="Aufzählungszeichen"/>
    <w:qFormat/>
    <w:rPr>
      <w:rFonts w:ascii="OpenSymbol" w:hAnsi="OpenSymbol" w:eastAsia="OpenSymbol"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b w:val="false"/>
      <w:bCs w:val="false"/>
    </w:rPr>
  </w:style>
  <w:style w:type="character" w:styleId="ListLabel56">
    <w:name w:val="ListLabel 56"/>
    <w:qFormat/>
    <w:rPr>
      <w:b w:val="false"/>
      <w:bCs w:val="false"/>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b w:val="false"/>
      <w:bCs w:val="false"/>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b w:val="false"/>
      <w:bCs w:val="false"/>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b w:val="false"/>
      <w:bCs w:val="false"/>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b w:val="false"/>
      <w:bCs w:val="false"/>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b w:val="false"/>
      <w:bCs w:val="false"/>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b w:val="false"/>
      <w:bCs w:val="false"/>
    </w:rPr>
  </w:style>
  <w:style w:type="character" w:styleId="ListLabel117">
    <w:name w:val="ListLabel 117"/>
    <w:qFormat/>
    <w:rPr>
      <w:rFonts w:ascii="Calibri" w:hAnsi="Calibri" w:cs="OpenSymbol"/>
      <w:sz w:val="22"/>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style>
  <w:style w:type="paragraph" w:styleId="Berschrift">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zeile">
    <w:name w:val="Header"/>
    <w:basedOn w:val="Normal"/>
    <w:pPr>
      <w:suppressLineNumbers/>
      <w:tabs>
        <w:tab w:val="center" w:pos="4986" w:leader="none"/>
        <w:tab w:val="right" w:pos="9972" w:leader="none"/>
      </w:tabs>
    </w:pPr>
    <w:rPr/>
  </w:style>
  <w:style w:type="paragraph" w:styleId="Tabelleninhalt">
    <w:name w:val="Tabelleninhalt"/>
    <w:basedOn w:val="Normal"/>
    <w:qFormat/>
    <w:pPr>
      <w:suppressLineNumbers/>
    </w:pPr>
    <w:rPr>
      <w:sz w:val="20"/>
      <w:szCs w:val="20"/>
    </w:rPr>
  </w:style>
  <w:style w:type="paragraph" w:styleId="Fuzeile">
    <w:name w:val="Footer"/>
    <w:basedOn w:val="Normal"/>
    <w:pPr>
      <w:suppressLineNumbers/>
      <w:tabs>
        <w:tab w:val="center" w:pos="4986" w:leader="none"/>
        <w:tab w:val="right" w:pos="9972" w:leader="none"/>
      </w:tabs>
    </w:pPr>
    <w:rPr/>
  </w:style>
  <w:style w:type="paragraph" w:styleId="Tabellenberschrift">
    <w:name w:val="Tabellenüberschrift"/>
    <w:basedOn w:val="Tabelleninhalt"/>
    <w:qFormat/>
    <w:pPr>
      <w:suppressLineNumbers/>
      <w:jc w:val="center"/>
    </w:pPr>
    <w:rPr>
      <w:b/>
      <w:bCs/>
    </w:rPr>
  </w:style>
  <w:style w:type="paragraph" w:styleId="ListParagraph">
    <w:name w:val="List Paragraph"/>
    <w:basedOn w:val="Normal"/>
    <w:qFormat/>
    <w:pPr>
      <w:spacing w:before="0" w:after="16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ueddeutsche.de/politik/eu-china-"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111</TotalTime>
  <Application>LibreOffice/6.0.7.3$Linux_X86_64 LibreOffice_project/00m0$Build-3</Application>
  <Pages>3</Pages>
  <Words>453</Words>
  <Characters>3255</Characters>
  <CharactersWithSpaces>3666</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2019-03-31T06:51:11Z</dcterms:created>
  <dc:creator/>
  <dc:description/>
  <dc:language>de-DE</dc:language>
  <cp:lastModifiedBy/>
  <dcterms:modified xsi:type="dcterms:W3CDTF">2019-07-22T18:18:22Z</dcterms:modified>
  <cp:revision>18</cp:revision>
  <dc:subject/>
  <dc:title/>
</cp:coreProperties>
</file>