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24589" w14:textId="0CE3A59D" w:rsidR="00EE54CE" w:rsidRDefault="00EE54CE">
      <w:pPr>
        <w:rPr>
          <w:b/>
        </w:rPr>
      </w:pPr>
      <w:r w:rsidRPr="00EE54CE">
        <w:rPr>
          <w:b/>
        </w:rPr>
        <w:t xml:space="preserve">Thema: </w:t>
      </w:r>
      <w:r w:rsidR="00AC5D8F">
        <w:rPr>
          <w:b/>
        </w:rPr>
        <w:t>Weltweite Disparitäten</w:t>
      </w:r>
    </w:p>
    <w:p w14:paraId="16D449A6" w14:textId="77777777" w:rsidR="00EE54CE" w:rsidRPr="00EE54CE" w:rsidRDefault="00EE54CE">
      <w:pPr>
        <w:rPr>
          <w:b/>
        </w:rPr>
      </w:pPr>
    </w:p>
    <w:p w14:paraId="40A61D4A" w14:textId="77777777" w:rsidR="00AC5D8F" w:rsidRDefault="00AC5D8F" w:rsidP="00AC5D8F">
      <w:r>
        <w:t>Die zwei Nachbarstaaten Simbabwe und Südafrika weisen einen unterschiedlichen Entwicklungsstand auf.</w:t>
      </w:r>
    </w:p>
    <w:p w14:paraId="3FBE7706" w14:textId="77777777" w:rsidR="00AC5D8F" w:rsidRDefault="00AC5D8F" w:rsidP="00AC5D8F"/>
    <w:p w14:paraId="2BDBE3CF" w14:textId="3764A27C" w:rsidR="00EE54CE" w:rsidRPr="00EE54CE" w:rsidRDefault="00EE54CE">
      <w:r w:rsidRPr="00EE54CE">
        <w:rPr>
          <w:b/>
        </w:rPr>
        <w:t>Aufgaben</w:t>
      </w:r>
    </w:p>
    <w:p w14:paraId="51CED22C" w14:textId="77777777" w:rsidR="00AC5D8F" w:rsidRDefault="00AC5D8F" w:rsidP="00AC5D8F"/>
    <w:p w14:paraId="0661C259" w14:textId="67702E21" w:rsidR="00AC5D8F" w:rsidRDefault="00AC5D8F" w:rsidP="00AC5D8F">
      <w:r>
        <w:t xml:space="preserve">[1] Charakterisieren Sie </w:t>
      </w:r>
      <w:r w:rsidR="00B761F2">
        <w:t>anhand</w:t>
      </w:r>
      <w:r>
        <w:t xml:space="preserve"> der Tabelle (M1) den Entwicklungsstand von Simbabwe.</w:t>
      </w:r>
    </w:p>
    <w:p w14:paraId="6F697412" w14:textId="77777777" w:rsidR="00AC5D8F" w:rsidRDefault="00AC5D8F" w:rsidP="00AC5D8F"/>
    <w:p w14:paraId="3B96C908" w14:textId="1CC609B3" w:rsidR="00AC5D8F" w:rsidRDefault="00AC5D8F" w:rsidP="00AC5D8F">
      <w:pPr>
        <w:ind w:left="284" w:hanging="284"/>
      </w:pPr>
      <w:r>
        <w:t>[2] Begründen Sie ausgehend vom HDI</w:t>
      </w:r>
      <w:proofErr w:type="gramStart"/>
      <w:r>
        <w:t>, warum</w:t>
      </w:r>
      <w:proofErr w:type="gramEnd"/>
      <w:r>
        <w:t xml:space="preserve"> zur Charakterisierung des Entwicklungsstands eines Landes mehrere Faktoren herangezogen werden.</w:t>
      </w:r>
    </w:p>
    <w:p w14:paraId="22AB005D" w14:textId="77777777" w:rsidR="00AC5D8F" w:rsidRDefault="00AC5D8F" w:rsidP="00AC5D8F">
      <w:pPr>
        <w:ind w:left="284" w:hanging="284"/>
      </w:pPr>
    </w:p>
    <w:p w14:paraId="1539BC11" w14:textId="08292D45" w:rsidR="00AC5D8F" w:rsidRDefault="00AC5D8F" w:rsidP="00AC5D8F">
      <w:pPr>
        <w:ind w:left="284" w:hanging="284"/>
      </w:pPr>
      <w:r>
        <w:t>[3] Erörtern Sie ausgehend von M1 die Chancen und Risiken der wirtschaftlichen Entwicklung Südafrikas.</w:t>
      </w:r>
    </w:p>
    <w:p w14:paraId="2EBA7407" w14:textId="77777777" w:rsidR="00AC5D8F" w:rsidRDefault="00AC5D8F" w:rsidP="00AC5D8F">
      <w:pPr>
        <w:ind w:left="284" w:hanging="284"/>
      </w:pPr>
    </w:p>
    <w:p w14:paraId="14831AAE" w14:textId="77777777" w:rsidR="000E31F4" w:rsidRDefault="000E31F4" w:rsidP="00AC5D8F">
      <w:pPr>
        <w:ind w:left="284" w:hanging="284"/>
      </w:pPr>
    </w:p>
    <w:p w14:paraId="7BA4EABA" w14:textId="20D5C43F" w:rsidR="006E6F02" w:rsidRDefault="00D12344" w:rsidP="00AC5D8F">
      <w:r w:rsidRPr="00D05F23">
        <w:rPr>
          <w:b/>
        </w:rPr>
        <w:t>M</w:t>
      </w:r>
      <w:r w:rsidR="006E6F02" w:rsidRPr="00D05F23">
        <w:rPr>
          <w:b/>
        </w:rPr>
        <w:t xml:space="preserve">1: </w:t>
      </w:r>
      <w:r w:rsidR="00AC5D8F" w:rsidRPr="00AC5D8F">
        <w:rPr>
          <w:b/>
        </w:rPr>
        <w:t>Ausgewählte Strukturdaten zu Simbabwe und Südafrika (2017)</w:t>
      </w:r>
      <w:r w:rsidR="00A062E3">
        <w:br/>
      </w:r>
    </w:p>
    <w:tbl>
      <w:tblPr>
        <w:tblStyle w:val="Tabellenraster"/>
        <w:tblW w:w="9878" w:type="dxa"/>
        <w:tblLook w:val="04A0" w:firstRow="1" w:lastRow="0" w:firstColumn="1" w:lastColumn="0" w:noHBand="0" w:noVBand="1"/>
      </w:tblPr>
      <w:tblGrid>
        <w:gridCol w:w="3278"/>
        <w:gridCol w:w="2217"/>
        <w:gridCol w:w="2217"/>
        <w:gridCol w:w="2166"/>
      </w:tblGrid>
      <w:tr w:rsidR="000E31F4" w:rsidRPr="00122BB8" w14:paraId="30612CF2" w14:textId="77777777" w:rsidTr="00122BB8">
        <w:tc>
          <w:tcPr>
            <w:tcW w:w="3278" w:type="dxa"/>
          </w:tcPr>
          <w:p w14:paraId="1B031463" w14:textId="77777777" w:rsidR="000E31F4" w:rsidRPr="00122BB8" w:rsidRDefault="000E31F4" w:rsidP="00122BB8">
            <w:pPr>
              <w:jc w:val="center"/>
              <w:rPr>
                <w:b/>
              </w:rPr>
            </w:pPr>
          </w:p>
        </w:tc>
        <w:tc>
          <w:tcPr>
            <w:tcW w:w="2217" w:type="dxa"/>
          </w:tcPr>
          <w:p w14:paraId="6031E172" w14:textId="77777777" w:rsidR="000E31F4" w:rsidRPr="00122BB8" w:rsidRDefault="000E31F4" w:rsidP="00122BB8">
            <w:pPr>
              <w:jc w:val="center"/>
              <w:rPr>
                <w:b/>
              </w:rPr>
            </w:pPr>
            <w:r w:rsidRPr="00122BB8">
              <w:rPr>
                <w:b/>
              </w:rPr>
              <w:t>Simbabwe</w:t>
            </w:r>
          </w:p>
        </w:tc>
        <w:tc>
          <w:tcPr>
            <w:tcW w:w="2217" w:type="dxa"/>
          </w:tcPr>
          <w:p w14:paraId="74A2B731" w14:textId="77777777" w:rsidR="000E31F4" w:rsidRPr="00122BB8" w:rsidRDefault="000E31F4" w:rsidP="00122BB8">
            <w:pPr>
              <w:jc w:val="center"/>
              <w:rPr>
                <w:b/>
              </w:rPr>
            </w:pPr>
            <w:r w:rsidRPr="00122BB8">
              <w:rPr>
                <w:b/>
              </w:rPr>
              <w:t>Südafrika</w:t>
            </w:r>
          </w:p>
        </w:tc>
        <w:tc>
          <w:tcPr>
            <w:tcW w:w="2166" w:type="dxa"/>
          </w:tcPr>
          <w:p w14:paraId="215AB868" w14:textId="77777777" w:rsidR="000E31F4" w:rsidRPr="00122BB8" w:rsidRDefault="000E31F4" w:rsidP="00122BB8">
            <w:pPr>
              <w:jc w:val="center"/>
              <w:rPr>
                <w:b/>
              </w:rPr>
            </w:pPr>
            <w:r w:rsidRPr="00122BB8">
              <w:rPr>
                <w:b/>
              </w:rPr>
              <w:t>Deutschland</w:t>
            </w:r>
          </w:p>
        </w:tc>
      </w:tr>
      <w:tr w:rsidR="000E31F4" w:rsidRPr="00122BB8" w14:paraId="76E0FC82" w14:textId="77777777" w:rsidTr="00122BB8">
        <w:tc>
          <w:tcPr>
            <w:tcW w:w="3278" w:type="dxa"/>
          </w:tcPr>
          <w:p w14:paraId="1B061E7A" w14:textId="77777777" w:rsidR="000E31F4" w:rsidRPr="00122BB8" w:rsidRDefault="000E31F4" w:rsidP="00122BB8">
            <w:r w:rsidRPr="00122BB8">
              <w:t>Bevölkerungszahl</w:t>
            </w:r>
          </w:p>
        </w:tc>
        <w:tc>
          <w:tcPr>
            <w:tcW w:w="2217" w:type="dxa"/>
          </w:tcPr>
          <w:p w14:paraId="54CBEAA3" w14:textId="77777777" w:rsidR="000E31F4" w:rsidRPr="00122BB8" w:rsidRDefault="000E31F4" w:rsidP="00122BB8">
            <w:pPr>
              <w:jc w:val="center"/>
            </w:pPr>
            <w:r w:rsidRPr="00122BB8">
              <w:t>14,9 Mio.</w:t>
            </w:r>
          </w:p>
        </w:tc>
        <w:tc>
          <w:tcPr>
            <w:tcW w:w="2217" w:type="dxa"/>
          </w:tcPr>
          <w:p w14:paraId="2DF55186" w14:textId="77777777" w:rsidR="000E31F4" w:rsidRPr="00122BB8" w:rsidRDefault="000E31F4" w:rsidP="00122BB8">
            <w:pPr>
              <w:jc w:val="center"/>
            </w:pPr>
            <w:r w:rsidRPr="00122BB8">
              <w:t>56,5 Mio.</w:t>
            </w:r>
          </w:p>
        </w:tc>
        <w:tc>
          <w:tcPr>
            <w:tcW w:w="2166" w:type="dxa"/>
          </w:tcPr>
          <w:p w14:paraId="37454125" w14:textId="77777777" w:rsidR="000E31F4" w:rsidRPr="00122BB8" w:rsidRDefault="000E31F4" w:rsidP="00122BB8">
            <w:pPr>
              <w:jc w:val="center"/>
            </w:pPr>
            <w:r w:rsidRPr="00122BB8">
              <w:t>82,8 Mio.</w:t>
            </w:r>
          </w:p>
        </w:tc>
      </w:tr>
      <w:tr w:rsidR="000E31F4" w:rsidRPr="00122BB8" w14:paraId="3AD22211" w14:textId="77777777" w:rsidTr="00122BB8">
        <w:tc>
          <w:tcPr>
            <w:tcW w:w="3278" w:type="dxa"/>
          </w:tcPr>
          <w:p w14:paraId="3043FFCA" w14:textId="77777777" w:rsidR="000E31F4" w:rsidRPr="00122BB8" w:rsidRDefault="000E31F4" w:rsidP="00122BB8">
            <w:r w:rsidRPr="00122BB8">
              <w:t>Bevölkerungswachstum</w:t>
            </w:r>
          </w:p>
        </w:tc>
        <w:tc>
          <w:tcPr>
            <w:tcW w:w="2217" w:type="dxa"/>
          </w:tcPr>
          <w:p w14:paraId="3BB8A5E6" w14:textId="77777777" w:rsidR="000E31F4" w:rsidRPr="00122BB8" w:rsidRDefault="000E31F4" w:rsidP="00122BB8">
            <w:pPr>
              <w:jc w:val="center"/>
            </w:pPr>
            <w:r w:rsidRPr="00122BB8">
              <w:t>1,5 %</w:t>
            </w:r>
          </w:p>
        </w:tc>
        <w:tc>
          <w:tcPr>
            <w:tcW w:w="2217" w:type="dxa"/>
          </w:tcPr>
          <w:p w14:paraId="35C14744" w14:textId="77777777" w:rsidR="000E31F4" w:rsidRPr="00122BB8" w:rsidRDefault="000E31F4" w:rsidP="00122BB8">
            <w:pPr>
              <w:jc w:val="center"/>
            </w:pPr>
            <w:r w:rsidRPr="00122BB8">
              <w:t>1,0 %</w:t>
            </w:r>
          </w:p>
        </w:tc>
        <w:tc>
          <w:tcPr>
            <w:tcW w:w="2166" w:type="dxa"/>
          </w:tcPr>
          <w:p w14:paraId="52D7C5F5" w14:textId="77777777" w:rsidR="000E31F4" w:rsidRPr="00122BB8" w:rsidRDefault="000E31F4" w:rsidP="00122BB8">
            <w:pPr>
              <w:jc w:val="center"/>
            </w:pPr>
            <w:r w:rsidRPr="00122BB8">
              <w:t>0,2 %</w:t>
            </w:r>
          </w:p>
        </w:tc>
      </w:tr>
      <w:tr w:rsidR="000E31F4" w:rsidRPr="00122BB8" w14:paraId="54C59290" w14:textId="77777777" w:rsidTr="00122BB8">
        <w:tc>
          <w:tcPr>
            <w:tcW w:w="3278" w:type="dxa"/>
          </w:tcPr>
          <w:p w14:paraId="2A71CCC1" w14:textId="1B3A0F7A" w:rsidR="000E31F4" w:rsidRPr="00122BB8" w:rsidRDefault="000E31F4" w:rsidP="00122BB8">
            <w:r w:rsidRPr="00122BB8">
              <w:t>BIP/Kopf, KKP*</w:t>
            </w:r>
            <w:r w:rsidR="00FB1681" w:rsidRPr="00122BB8">
              <w:rPr>
                <w:color w:val="000000" w:themeColor="text1"/>
                <w:sz w:val="20"/>
                <w:szCs w:val="20"/>
              </w:rPr>
              <w:t xml:space="preserve"> </w:t>
            </w:r>
            <w:r w:rsidR="00FB1681" w:rsidRPr="00122BB8">
              <w:rPr>
                <w:color w:val="000000" w:themeColor="text1"/>
                <w:sz w:val="20"/>
                <w:szCs w:val="20"/>
              </w:rPr>
              <w:br/>
              <w:t>(KKP = Kaufkraftparität: Bereinigung von Wechselkursschwankungen durch Berücksichtigung der tatsächlichen landesspezifischen Konsumkaufkraft)</w:t>
            </w:r>
          </w:p>
        </w:tc>
        <w:tc>
          <w:tcPr>
            <w:tcW w:w="2217" w:type="dxa"/>
          </w:tcPr>
          <w:p w14:paraId="6AC8D523" w14:textId="77777777" w:rsidR="000E31F4" w:rsidRPr="00122BB8" w:rsidRDefault="000E31F4" w:rsidP="00122BB8">
            <w:pPr>
              <w:jc w:val="center"/>
            </w:pPr>
            <w:r w:rsidRPr="00122BB8">
              <w:t>2 429 US$</w:t>
            </w:r>
          </w:p>
        </w:tc>
        <w:tc>
          <w:tcPr>
            <w:tcW w:w="2217" w:type="dxa"/>
          </w:tcPr>
          <w:p w14:paraId="35A5956E" w14:textId="77777777" w:rsidR="000E31F4" w:rsidRPr="00122BB8" w:rsidRDefault="000E31F4" w:rsidP="00122BB8">
            <w:pPr>
              <w:jc w:val="center"/>
            </w:pPr>
            <w:r w:rsidRPr="00122BB8">
              <w:t>13 498 US$</w:t>
            </w:r>
          </w:p>
        </w:tc>
        <w:tc>
          <w:tcPr>
            <w:tcW w:w="2166" w:type="dxa"/>
          </w:tcPr>
          <w:p w14:paraId="2C625E3A" w14:textId="77777777" w:rsidR="000E31F4" w:rsidRPr="00122BB8" w:rsidRDefault="000E31F4" w:rsidP="00122BB8">
            <w:pPr>
              <w:jc w:val="center"/>
            </w:pPr>
            <w:r w:rsidRPr="00122BB8">
              <w:t>50 639 US$</w:t>
            </w:r>
          </w:p>
        </w:tc>
      </w:tr>
      <w:tr w:rsidR="000E31F4" w:rsidRPr="00122BB8" w14:paraId="44BFA79C" w14:textId="77777777" w:rsidTr="00122BB8">
        <w:tc>
          <w:tcPr>
            <w:tcW w:w="3278" w:type="dxa"/>
          </w:tcPr>
          <w:p w14:paraId="3A9480B2" w14:textId="77777777" w:rsidR="000E31F4" w:rsidRPr="00122BB8" w:rsidRDefault="000E31F4" w:rsidP="00122BB8">
            <w:r w:rsidRPr="00122BB8">
              <w:t>Erwerbstätige nach Wirtschaftssektoren (2018)</w:t>
            </w:r>
          </w:p>
        </w:tc>
        <w:tc>
          <w:tcPr>
            <w:tcW w:w="2217" w:type="dxa"/>
          </w:tcPr>
          <w:p w14:paraId="6E19F318" w14:textId="77777777" w:rsidR="000E31F4" w:rsidRPr="00122BB8" w:rsidRDefault="000E31F4" w:rsidP="00122BB8">
            <w:pPr>
              <w:jc w:val="center"/>
            </w:pPr>
            <w:r w:rsidRPr="00122BB8">
              <w:t>I. Sektor:   68,6 %</w:t>
            </w:r>
          </w:p>
          <w:p w14:paraId="748FD607" w14:textId="77777777" w:rsidR="000E31F4" w:rsidRPr="00122BB8" w:rsidRDefault="000E31F4" w:rsidP="00122BB8">
            <w:pPr>
              <w:jc w:val="center"/>
            </w:pPr>
            <w:r w:rsidRPr="00122BB8">
              <w:t>II. Sektor:    7,4 %</w:t>
            </w:r>
          </w:p>
          <w:p w14:paraId="4D12C38D" w14:textId="77777777" w:rsidR="000E31F4" w:rsidRPr="00122BB8" w:rsidRDefault="000E31F4" w:rsidP="00122BB8">
            <w:pPr>
              <w:jc w:val="center"/>
              <w:rPr>
                <w:color w:val="000000" w:themeColor="text1"/>
              </w:rPr>
            </w:pPr>
            <w:r w:rsidRPr="00122BB8">
              <w:t>III. Sektor: 24,0 %</w:t>
            </w:r>
          </w:p>
        </w:tc>
        <w:tc>
          <w:tcPr>
            <w:tcW w:w="2217" w:type="dxa"/>
          </w:tcPr>
          <w:p w14:paraId="63E4DF8C" w14:textId="77777777" w:rsidR="000E31F4" w:rsidRPr="00122BB8" w:rsidRDefault="000E31F4" w:rsidP="00122BB8">
            <w:pPr>
              <w:jc w:val="center"/>
              <w:rPr>
                <w:color w:val="000000" w:themeColor="text1"/>
              </w:rPr>
            </w:pPr>
            <w:r w:rsidRPr="00122BB8">
              <w:rPr>
                <w:color w:val="000000" w:themeColor="text1"/>
              </w:rPr>
              <w:t>I. Sektor:     5,5 %</w:t>
            </w:r>
          </w:p>
          <w:p w14:paraId="5E60EA34" w14:textId="77777777" w:rsidR="000E31F4" w:rsidRPr="00122BB8" w:rsidRDefault="000E31F4" w:rsidP="00122BB8">
            <w:pPr>
              <w:jc w:val="center"/>
              <w:rPr>
                <w:color w:val="000000" w:themeColor="text1"/>
              </w:rPr>
            </w:pPr>
            <w:r w:rsidRPr="00122BB8">
              <w:rPr>
                <w:color w:val="000000" w:themeColor="text1"/>
              </w:rPr>
              <w:t>II. Sektor:  23,4 %</w:t>
            </w:r>
          </w:p>
          <w:p w14:paraId="4705BFC1" w14:textId="77777777" w:rsidR="000E31F4" w:rsidRPr="00122BB8" w:rsidRDefault="000E31F4" w:rsidP="00122BB8">
            <w:pPr>
              <w:jc w:val="center"/>
              <w:rPr>
                <w:color w:val="000000" w:themeColor="text1"/>
              </w:rPr>
            </w:pPr>
            <w:r w:rsidRPr="00122BB8">
              <w:rPr>
                <w:color w:val="000000" w:themeColor="text1"/>
              </w:rPr>
              <w:t>III. Sektor: 71,1 %</w:t>
            </w:r>
          </w:p>
        </w:tc>
        <w:tc>
          <w:tcPr>
            <w:tcW w:w="2166" w:type="dxa"/>
          </w:tcPr>
          <w:p w14:paraId="429A3A69" w14:textId="77777777" w:rsidR="000E31F4" w:rsidRPr="00122BB8" w:rsidRDefault="000E31F4" w:rsidP="00122BB8">
            <w:pPr>
              <w:jc w:val="center"/>
            </w:pPr>
            <w:r w:rsidRPr="00122BB8">
              <w:t>I. Sektor:     1,4 %</w:t>
            </w:r>
          </w:p>
          <w:p w14:paraId="31BFAC2E" w14:textId="77777777" w:rsidR="000E31F4" w:rsidRPr="00122BB8" w:rsidRDefault="000E31F4" w:rsidP="00122BB8">
            <w:pPr>
              <w:jc w:val="center"/>
            </w:pPr>
            <w:r w:rsidRPr="00122BB8">
              <w:t>II. Sektor:  24,1 %</w:t>
            </w:r>
          </w:p>
          <w:p w14:paraId="213D38FB" w14:textId="77777777" w:rsidR="000E31F4" w:rsidRPr="00122BB8" w:rsidRDefault="000E31F4" w:rsidP="00122BB8">
            <w:pPr>
              <w:jc w:val="center"/>
            </w:pPr>
            <w:r w:rsidRPr="00122BB8">
              <w:t>III. Sektor: 74,5 %</w:t>
            </w:r>
          </w:p>
        </w:tc>
      </w:tr>
      <w:tr w:rsidR="000E31F4" w:rsidRPr="00122BB8" w14:paraId="58F34C83" w14:textId="77777777" w:rsidTr="00122BB8">
        <w:tc>
          <w:tcPr>
            <w:tcW w:w="3278" w:type="dxa"/>
          </w:tcPr>
          <w:p w14:paraId="078DEEE1" w14:textId="77777777" w:rsidR="000E31F4" w:rsidRPr="00122BB8" w:rsidRDefault="000E31F4" w:rsidP="00122BB8">
            <w:r w:rsidRPr="00122BB8">
              <w:t>Hauptexportprodukt</w:t>
            </w:r>
          </w:p>
        </w:tc>
        <w:tc>
          <w:tcPr>
            <w:tcW w:w="2217" w:type="dxa"/>
          </w:tcPr>
          <w:p w14:paraId="6B11F418" w14:textId="77777777" w:rsidR="000E31F4" w:rsidRPr="00122BB8" w:rsidRDefault="000E31F4" w:rsidP="00122BB8">
            <w:pPr>
              <w:jc w:val="center"/>
            </w:pPr>
            <w:r w:rsidRPr="00122BB8">
              <w:t>Tabak (35,6 %)</w:t>
            </w:r>
          </w:p>
        </w:tc>
        <w:tc>
          <w:tcPr>
            <w:tcW w:w="2217" w:type="dxa"/>
          </w:tcPr>
          <w:p w14:paraId="2ACE2C10" w14:textId="77777777" w:rsidR="000E31F4" w:rsidRPr="00122BB8" w:rsidRDefault="000E31F4" w:rsidP="00122BB8">
            <w:pPr>
              <w:jc w:val="center"/>
            </w:pPr>
            <w:r w:rsidRPr="00122BB8">
              <w:t>Erze, v.a. Gold, Platin (13 %)</w:t>
            </w:r>
          </w:p>
        </w:tc>
        <w:tc>
          <w:tcPr>
            <w:tcW w:w="2166" w:type="dxa"/>
          </w:tcPr>
          <w:p w14:paraId="427D38A8" w14:textId="77777777" w:rsidR="000E31F4" w:rsidRPr="00122BB8" w:rsidRDefault="000E31F4" w:rsidP="00122BB8">
            <w:pPr>
              <w:jc w:val="center"/>
            </w:pPr>
            <w:r w:rsidRPr="00122BB8">
              <w:t>Maschinen (8,8 %)</w:t>
            </w:r>
          </w:p>
        </w:tc>
      </w:tr>
      <w:tr w:rsidR="000E31F4" w:rsidRPr="00122BB8" w14:paraId="410D653F" w14:textId="77777777" w:rsidTr="00122BB8">
        <w:tc>
          <w:tcPr>
            <w:tcW w:w="3278" w:type="dxa"/>
          </w:tcPr>
          <w:p w14:paraId="08CB225F" w14:textId="77777777" w:rsidR="000E31F4" w:rsidRPr="00122BB8" w:rsidRDefault="000E31F4" w:rsidP="00122BB8">
            <w:r w:rsidRPr="00122BB8">
              <w:t>Hauptexportpartner</w:t>
            </w:r>
          </w:p>
        </w:tc>
        <w:tc>
          <w:tcPr>
            <w:tcW w:w="2217" w:type="dxa"/>
          </w:tcPr>
          <w:p w14:paraId="73F255C0" w14:textId="77777777" w:rsidR="000E31F4" w:rsidRPr="00122BB8" w:rsidRDefault="000E31F4" w:rsidP="00122BB8">
            <w:pPr>
              <w:jc w:val="center"/>
            </w:pPr>
            <w:r w:rsidRPr="00122BB8">
              <w:t>Südafrika (27,9 %)</w:t>
            </w:r>
          </w:p>
        </w:tc>
        <w:tc>
          <w:tcPr>
            <w:tcW w:w="2217" w:type="dxa"/>
          </w:tcPr>
          <w:p w14:paraId="32D08C47" w14:textId="77777777" w:rsidR="000E31F4" w:rsidRPr="00122BB8" w:rsidRDefault="000E31F4" w:rsidP="00122BB8">
            <w:pPr>
              <w:jc w:val="center"/>
            </w:pPr>
            <w:r w:rsidRPr="00122BB8">
              <w:t>China (9,8 %)</w:t>
            </w:r>
          </w:p>
        </w:tc>
        <w:tc>
          <w:tcPr>
            <w:tcW w:w="2166" w:type="dxa"/>
          </w:tcPr>
          <w:p w14:paraId="05A25E6E" w14:textId="77777777" w:rsidR="000E31F4" w:rsidRPr="00122BB8" w:rsidRDefault="000E31F4" w:rsidP="00122BB8">
            <w:pPr>
              <w:jc w:val="center"/>
            </w:pPr>
            <w:r w:rsidRPr="00122BB8">
              <w:t>USA (8,7 %)</w:t>
            </w:r>
          </w:p>
        </w:tc>
      </w:tr>
      <w:tr w:rsidR="000E31F4" w:rsidRPr="00122BB8" w14:paraId="0FDB72F4" w14:textId="77777777" w:rsidTr="00122BB8">
        <w:tc>
          <w:tcPr>
            <w:tcW w:w="3278" w:type="dxa"/>
          </w:tcPr>
          <w:p w14:paraId="39F20013" w14:textId="77777777" w:rsidR="000E31F4" w:rsidRPr="00122BB8" w:rsidRDefault="000E31F4" w:rsidP="00122BB8">
            <w:r w:rsidRPr="00122BB8">
              <w:t>Verstädterungsgrad</w:t>
            </w:r>
          </w:p>
        </w:tc>
        <w:tc>
          <w:tcPr>
            <w:tcW w:w="2217" w:type="dxa"/>
          </w:tcPr>
          <w:p w14:paraId="13F998BF" w14:textId="77777777" w:rsidR="000E31F4" w:rsidRPr="00122BB8" w:rsidRDefault="000E31F4" w:rsidP="00122BB8">
            <w:pPr>
              <w:jc w:val="center"/>
            </w:pPr>
            <w:r w:rsidRPr="00122BB8">
              <w:t>32,3 %</w:t>
            </w:r>
          </w:p>
        </w:tc>
        <w:tc>
          <w:tcPr>
            <w:tcW w:w="2217" w:type="dxa"/>
          </w:tcPr>
          <w:p w14:paraId="69658192" w14:textId="77777777" w:rsidR="000E31F4" w:rsidRPr="00122BB8" w:rsidRDefault="000E31F4" w:rsidP="00122BB8">
            <w:pPr>
              <w:jc w:val="center"/>
            </w:pPr>
            <w:r w:rsidRPr="00122BB8">
              <w:t>65,9 %</w:t>
            </w:r>
          </w:p>
        </w:tc>
        <w:tc>
          <w:tcPr>
            <w:tcW w:w="2166" w:type="dxa"/>
          </w:tcPr>
          <w:p w14:paraId="7628A1FE" w14:textId="77777777" w:rsidR="000E31F4" w:rsidRPr="00122BB8" w:rsidRDefault="000E31F4" w:rsidP="00122BB8">
            <w:pPr>
              <w:jc w:val="center"/>
            </w:pPr>
            <w:r w:rsidRPr="00122BB8">
              <w:t>77,3 %</w:t>
            </w:r>
          </w:p>
        </w:tc>
      </w:tr>
      <w:tr w:rsidR="000E31F4" w:rsidRPr="00122BB8" w14:paraId="53A7D970" w14:textId="77777777" w:rsidTr="00122BB8">
        <w:tc>
          <w:tcPr>
            <w:tcW w:w="3278" w:type="dxa"/>
          </w:tcPr>
          <w:p w14:paraId="70D5C0D9" w14:textId="77777777" w:rsidR="000E31F4" w:rsidRPr="00122BB8" w:rsidRDefault="000E31F4" w:rsidP="00122BB8">
            <w:r w:rsidRPr="00122BB8">
              <w:t xml:space="preserve">HDI </w:t>
            </w:r>
          </w:p>
        </w:tc>
        <w:tc>
          <w:tcPr>
            <w:tcW w:w="2217" w:type="dxa"/>
          </w:tcPr>
          <w:p w14:paraId="5354263D" w14:textId="77777777" w:rsidR="000E31F4" w:rsidRPr="00122BB8" w:rsidRDefault="000E31F4" w:rsidP="00122BB8">
            <w:pPr>
              <w:jc w:val="center"/>
            </w:pPr>
            <w:r w:rsidRPr="00122BB8">
              <w:t>0,535 (Rang 156)</w:t>
            </w:r>
          </w:p>
        </w:tc>
        <w:tc>
          <w:tcPr>
            <w:tcW w:w="2217" w:type="dxa"/>
          </w:tcPr>
          <w:p w14:paraId="5E4BD118" w14:textId="77777777" w:rsidR="000E31F4" w:rsidRPr="00122BB8" w:rsidRDefault="000E31F4" w:rsidP="00122BB8">
            <w:pPr>
              <w:jc w:val="center"/>
            </w:pPr>
            <w:r w:rsidRPr="00122BB8">
              <w:t>0,699 (Rang 113)</w:t>
            </w:r>
          </w:p>
        </w:tc>
        <w:tc>
          <w:tcPr>
            <w:tcW w:w="2166" w:type="dxa"/>
          </w:tcPr>
          <w:p w14:paraId="1DA164E1" w14:textId="77777777" w:rsidR="000E31F4" w:rsidRPr="00122BB8" w:rsidRDefault="000E31F4" w:rsidP="00122BB8">
            <w:pPr>
              <w:jc w:val="center"/>
            </w:pPr>
            <w:r w:rsidRPr="00122BB8">
              <w:t>0,936 (Rang 5)</w:t>
            </w:r>
          </w:p>
        </w:tc>
      </w:tr>
      <w:tr w:rsidR="000E31F4" w:rsidRPr="00122BB8" w14:paraId="6A45D82D" w14:textId="77777777" w:rsidTr="00122BB8">
        <w:tc>
          <w:tcPr>
            <w:tcW w:w="3278" w:type="dxa"/>
          </w:tcPr>
          <w:p w14:paraId="34714D69" w14:textId="79B39294" w:rsidR="000E31F4" w:rsidRPr="00122BB8" w:rsidRDefault="00FB1681" w:rsidP="00122BB8">
            <w:r w:rsidRPr="00122BB8">
              <w:t>Korruptionswahrnehmungs-index</w:t>
            </w:r>
          </w:p>
          <w:p w14:paraId="694D8563" w14:textId="097D9D39" w:rsidR="00FB1681" w:rsidRPr="00122BB8" w:rsidRDefault="00FB1681" w:rsidP="00122BB8">
            <w:r w:rsidRPr="00122BB8">
              <w:t>(</w:t>
            </w:r>
            <w:r w:rsidRPr="00122BB8">
              <w:rPr>
                <w:color w:val="000000" w:themeColor="text1"/>
                <w:sz w:val="20"/>
                <w:szCs w:val="20"/>
              </w:rPr>
              <w:t xml:space="preserve">gibt an, </w:t>
            </w:r>
            <w:proofErr w:type="spellStart"/>
            <w:r w:rsidRPr="00122BB8">
              <w:rPr>
                <w:color w:val="000000" w:themeColor="text1"/>
                <w:sz w:val="20"/>
                <w:szCs w:val="20"/>
              </w:rPr>
              <w:t>wieviel</w:t>
            </w:r>
            <w:proofErr w:type="spellEnd"/>
            <w:r w:rsidRPr="00122BB8">
              <w:rPr>
                <w:color w:val="000000" w:themeColor="text1"/>
                <w:sz w:val="20"/>
                <w:szCs w:val="20"/>
              </w:rPr>
              <w:t xml:space="preserve"> Korruption bei Politikern und Beamten wahrgenommen wird; geht von 0 (hohes Maß an Korruption) bis 100 (keine wahrgenommene Korruption))</w:t>
            </w:r>
          </w:p>
        </w:tc>
        <w:tc>
          <w:tcPr>
            <w:tcW w:w="2217" w:type="dxa"/>
          </w:tcPr>
          <w:p w14:paraId="5E030FCA" w14:textId="77777777" w:rsidR="000E31F4" w:rsidRPr="00122BB8" w:rsidRDefault="000E31F4" w:rsidP="00122BB8">
            <w:pPr>
              <w:jc w:val="center"/>
            </w:pPr>
            <w:r w:rsidRPr="00122BB8">
              <w:t>22</w:t>
            </w:r>
          </w:p>
        </w:tc>
        <w:tc>
          <w:tcPr>
            <w:tcW w:w="2217" w:type="dxa"/>
          </w:tcPr>
          <w:p w14:paraId="368196A5" w14:textId="77777777" w:rsidR="000E31F4" w:rsidRPr="00122BB8" w:rsidRDefault="000E31F4" w:rsidP="00122BB8">
            <w:pPr>
              <w:jc w:val="center"/>
            </w:pPr>
            <w:r w:rsidRPr="00122BB8">
              <w:t>43</w:t>
            </w:r>
          </w:p>
        </w:tc>
        <w:tc>
          <w:tcPr>
            <w:tcW w:w="2166" w:type="dxa"/>
          </w:tcPr>
          <w:p w14:paraId="247CFEC0" w14:textId="77777777" w:rsidR="000E31F4" w:rsidRPr="00122BB8" w:rsidRDefault="000E31F4" w:rsidP="00122BB8">
            <w:pPr>
              <w:jc w:val="center"/>
            </w:pPr>
            <w:r w:rsidRPr="00122BB8">
              <w:t>81</w:t>
            </w:r>
          </w:p>
        </w:tc>
      </w:tr>
    </w:tbl>
    <w:p w14:paraId="00CDCE38" w14:textId="77777777" w:rsidR="006E6F02" w:rsidRDefault="006E6F02" w:rsidP="006E6F02"/>
    <w:p w14:paraId="632E1701" w14:textId="560D0012" w:rsidR="000E31F4" w:rsidRPr="00122BB8" w:rsidRDefault="000E31F4" w:rsidP="000E31F4">
      <w:pPr>
        <w:rPr>
          <w:rFonts w:asciiTheme="majorHAnsi" w:hAnsiTheme="majorHAnsi"/>
          <w:i/>
          <w:color w:val="000000" w:themeColor="text1"/>
          <w:sz w:val="20"/>
          <w:szCs w:val="20"/>
        </w:rPr>
      </w:pPr>
      <w:r w:rsidRPr="00122BB8">
        <w:rPr>
          <w:i/>
          <w:sz w:val="20"/>
          <w:szCs w:val="20"/>
        </w:rPr>
        <w:t>[Zusammengestellt nach:</w:t>
      </w:r>
      <w:r w:rsidRPr="00122BB8">
        <w:rPr>
          <w:rFonts w:asciiTheme="majorHAnsi" w:hAnsiTheme="majorHAnsi"/>
          <w:i/>
          <w:color w:val="000000" w:themeColor="text1"/>
          <w:sz w:val="20"/>
          <w:szCs w:val="20"/>
        </w:rPr>
        <w:t xml:space="preserve"> gapminder.org, https://www.cia.gov/library/publications/the-world-factbook/, https://wko.at/statistik/laenderprofile/lp-simbabwe.pdf, https://wko.at/statistik/laenderprofile/lp-suedafrika.pdf, http://wko.at/statistik/laenderprofile/lp-deutschland.pdf Stand: 16.5.2019</w:t>
      </w:r>
      <w:r w:rsidRPr="00122BB8">
        <w:rPr>
          <w:i/>
          <w:sz w:val="20"/>
          <w:szCs w:val="20"/>
        </w:rPr>
        <w:t>]</w:t>
      </w:r>
    </w:p>
    <w:p w14:paraId="7A35659D" w14:textId="77777777" w:rsidR="000E31F4" w:rsidRPr="00FB1681" w:rsidRDefault="000E31F4" w:rsidP="000E31F4">
      <w:pPr>
        <w:rPr>
          <w:rFonts w:asciiTheme="majorHAnsi" w:hAnsiTheme="majorHAnsi"/>
          <w:color w:val="000000" w:themeColor="text1"/>
          <w:sz w:val="20"/>
          <w:szCs w:val="20"/>
        </w:rPr>
      </w:pPr>
    </w:p>
    <w:p w14:paraId="6D883995" w14:textId="77777777" w:rsidR="000E31F4" w:rsidRPr="00AA6189" w:rsidRDefault="000E31F4" w:rsidP="000E31F4">
      <w:pPr>
        <w:rPr>
          <w:rFonts w:asciiTheme="majorHAnsi" w:hAnsiTheme="majorHAnsi"/>
          <w:color w:val="000000" w:themeColor="text1"/>
          <w:sz w:val="20"/>
          <w:szCs w:val="20"/>
        </w:rPr>
      </w:pPr>
      <w:r w:rsidRPr="00AA6189">
        <w:rPr>
          <w:rFonts w:asciiTheme="majorHAnsi" w:hAnsiTheme="majorHAnsi"/>
          <w:color w:val="000000" w:themeColor="text1"/>
          <w:sz w:val="20"/>
          <w:szCs w:val="20"/>
        </w:rPr>
        <w:t>vgl. auch Abitur Geographie NT 2016, Aufgabe I</w:t>
      </w:r>
    </w:p>
    <w:p w14:paraId="5A1FC99D" w14:textId="77777777" w:rsidR="000E4D36" w:rsidRDefault="000E4D36" w:rsidP="006E6F02"/>
    <w:p w14:paraId="10866EDE" w14:textId="6856A383" w:rsidR="00122BB8" w:rsidRDefault="00122BB8">
      <w:r>
        <w:br w:type="page"/>
      </w:r>
    </w:p>
    <w:p w14:paraId="6928FBF6" w14:textId="01FC3FFD" w:rsidR="00EE6E1C" w:rsidRPr="00B761F2" w:rsidRDefault="00EE6E1C" w:rsidP="00B761F2">
      <w:pPr>
        <w:rPr>
          <w:rFonts w:cstheme="minorHAnsi"/>
          <w:b/>
          <w:sz w:val="22"/>
          <w:szCs w:val="22"/>
        </w:rPr>
      </w:pPr>
      <w:r w:rsidRPr="00B761F2">
        <w:rPr>
          <w:rFonts w:cstheme="minorHAnsi"/>
          <w:b/>
          <w:sz w:val="22"/>
          <w:szCs w:val="22"/>
        </w:rPr>
        <w:lastRenderedPageBreak/>
        <w:t>Erw</w:t>
      </w:r>
      <w:r w:rsidR="00F37BD6" w:rsidRPr="00B761F2">
        <w:rPr>
          <w:rFonts w:cstheme="minorHAnsi"/>
          <w:b/>
          <w:sz w:val="22"/>
          <w:szCs w:val="22"/>
        </w:rPr>
        <w:t>a</w:t>
      </w:r>
      <w:r w:rsidRPr="00B761F2">
        <w:rPr>
          <w:rFonts w:cstheme="minorHAnsi"/>
          <w:b/>
          <w:sz w:val="22"/>
          <w:szCs w:val="22"/>
        </w:rPr>
        <w:t>rtungshorizont</w:t>
      </w:r>
    </w:p>
    <w:p w14:paraId="64570620" w14:textId="77777777" w:rsidR="00EE6E1C" w:rsidRDefault="00EE6E1C" w:rsidP="00B761F2">
      <w:pPr>
        <w:rPr>
          <w:rFonts w:cstheme="minorHAnsi"/>
          <w:sz w:val="22"/>
          <w:szCs w:val="22"/>
        </w:rPr>
      </w:pPr>
    </w:p>
    <w:p w14:paraId="2C22E9B7" w14:textId="225078A5" w:rsidR="00F64E94" w:rsidRDefault="00F64E94" w:rsidP="00B761F2">
      <w:pPr>
        <w:rPr>
          <w:sz w:val="22"/>
          <w:szCs w:val="22"/>
        </w:rPr>
      </w:pPr>
      <w:r w:rsidRPr="00122BB8">
        <w:rPr>
          <w:rFonts w:cstheme="minorHAnsi"/>
          <w:sz w:val="22"/>
          <w:szCs w:val="22"/>
        </w:rPr>
        <w:t>[1]</w:t>
      </w:r>
      <w:r w:rsidRPr="00122BB8">
        <w:rPr>
          <w:rFonts w:cstheme="minorHAnsi"/>
          <w:b/>
          <w:sz w:val="22"/>
          <w:szCs w:val="22"/>
        </w:rPr>
        <w:t xml:space="preserve"> </w:t>
      </w:r>
      <w:r w:rsidR="00122BB8" w:rsidRPr="00122BB8">
        <w:rPr>
          <w:sz w:val="22"/>
          <w:szCs w:val="22"/>
        </w:rPr>
        <w:t xml:space="preserve">Charakterisieren </w:t>
      </w:r>
      <w:r w:rsidR="00122BB8">
        <w:rPr>
          <w:sz w:val="22"/>
          <w:szCs w:val="22"/>
        </w:rPr>
        <w:t xml:space="preserve">(AFB I) </w:t>
      </w:r>
      <w:r w:rsidR="00122BB8" w:rsidRPr="00122BB8">
        <w:rPr>
          <w:sz w:val="22"/>
          <w:szCs w:val="22"/>
        </w:rPr>
        <w:t xml:space="preserve">Sie </w:t>
      </w:r>
      <w:r w:rsidR="00B761F2">
        <w:rPr>
          <w:sz w:val="22"/>
          <w:szCs w:val="22"/>
        </w:rPr>
        <w:t>anhand</w:t>
      </w:r>
      <w:r w:rsidR="00122BB8" w:rsidRPr="00122BB8">
        <w:rPr>
          <w:sz w:val="22"/>
          <w:szCs w:val="22"/>
        </w:rPr>
        <w:t xml:space="preserve"> der Tabelle (M1) den Entwicklungsstand von Simbabwe.</w:t>
      </w:r>
    </w:p>
    <w:p w14:paraId="268C6721" w14:textId="77777777" w:rsidR="00B761F2" w:rsidRPr="00B761F2" w:rsidRDefault="00B761F2" w:rsidP="00B761F2">
      <w:pPr>
        <w:rPr>
          <w:rFonts w:cstheme="minorHAnsi"/>
          <w:sz w:val="22"/>
          <w:szCs w:val="22"/>
        </w:rPr>
      </w:pPr>
    </w:p>
    <w:p w14:paraId="735D188E" w14:textId="408C01A6" w:rsidR="00B761F2" w:rsidRPr="00F64E94" w:rsidRDefault="00F64E94" w:rsidP="00B761F2">
      <w:pPr>
        <w:rPr>
          <w:rFonts w:cstheme="minorHAnsi"/>
          <w:i/>
          <w:sz w:val="22"/>
          <w:szCs w:val="22"/>
        </w:rPr>
      </w:pPr>
      <w:r w:rsidRPr="00F64E94">
        <w:rPr>
          <w:rFonts w:cstheme="minorHAnsi"/>
          <w:i/>
          <w:sz w:val="22"/>
          <w:szCs w:val="22"/>
        </w:rPr>
        <w:t xml:space="preserve">Die Aufgabenstellung verlangt, die typischen Merkmale </w:t>
      </w:r>
      <w:r w:rsidR="00122BB8">
        <w:rPr>
          <w:rFonts w:cstheme="minorHAnsi"/>
          <w:i/>
          <w:sz w:val="22"/>
          <w:szCs w:val="22"/>
        </w:rPr>
        <w:t>des Entwicklungsstands von Simbabwe</w:t>
      </w:r>
      <w:r w:rsidRPr="00F64E94">
        <w:rPr>
          <w:rFonts w:cstheme="minorHAnsi"/>
          <w:i/>
          <w:sz w:val="22"/>
          <w:szCs w:val="22"/>
        </w:rPr>
        <w:t xml:space="preserve"> zu beschreiben und </w:t>
      </w:r>
      <w:r w:rsidR="00122BB8">
        <w:rPr>
          <w:rFonts w:cstheme="minorHAnsi"/>
          <w:i/>
          <w:sz w:val="22"/>
          <w:szCs w:val="22"/>
        </w:rPr>
        <w:t>in seinen</w:t>
      </w:r>
      <w:r w:rsidRPr="00F64E94">
        <w:rPr>
          <w:rFonts w:cstheme="minorHAnsi"/>
          <w:i/>
          <w:sz w:val="22"/>
          <w:szCs w:val="22"/>
        </w:rPr>
        <w:t xml:space="preserve"> Grundzügen zu bestimmen. </w:t>
      </w:r>
    </w:p>
    <w:p w14:paraId="11C89699" w14:textId="1B66ECE9"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 xml:space="preserve">relativ niedriges Bevölkerungswachstum </w:t>
      </w:r>
    </w:p>
    <w:p w14:paraId="57461FA8" w14:textId="569B71F2"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 xml:space="preserve">sehr geringes BIP/Kopf </w:t>
      </w:r>
    </w:p>
    <w:p w14:paraId="38395316" w14:textId="246F3FCF"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 xml:space="preserve">klare Dominanz des primären Sektors </w:t>
      </w:r>
    </w:p>
    <w:p w14:paraId="0A3551C8" w14:textId="323D0F4B"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agrarischer Rohstoff als Hauptexportgut (</w:t>
      </w:r>
      <w:r w:rsidR="00E61734">
        <w:rPr>
          <w:rFonts w:asciiTheme="minorHAnsi" w:hAnsiTheme="minorHAnsi" w:cstheme="minorHAnsi"/>
          <w:sz w:val="22"/>
          <w:szCs w:val="22"/>
        </w:rPr>
        <w:t xml:space="preserve">evtl. </w:t>
      </w:r>
      <w:r w:rsidRPr="00EE6E1C">
        <w:rPr>
          <w:rFonts w:asciiTheme="minorHAnsi" w:hAnsiTheme="minorHAnsi" w:cstheme="minorHAnsi"/>
          <w:sz w:val="22"/>
          <w:szCs w:val="22"/>
        </w:rPr>
        <w:t>ungünstige Terms-</w:t>
      </w:r>
      <w:proofErr w:type="spellStart"/>
      <w:r w:rsidRPr="00EE6E1C">
        <w:rPr>
          <w:rFonts w:asciiTheme="minorHAnsi" w:hAnsiTheme="minorHAnsi" w:cstheme="minorHAnsi"/>
          <w:sz w:val="22"/>
          <w:szCs w:val="22"/>
        </w:rPr>
        <w:t>of</w:t>
      </w:r>
      <w:proofErr w:type="spellEnd"/>
      <w:r w:rsidRPr="00EE6E1C">
        <w:rPr>
          <w:rFonts w:asciiTheme="minorHAnsi" w:hAnsiTheme="minorHAnsi" w:cstheme="minorHAnsi"/>
          <w:sz w:val="22"/>
          <w:szCs w:val="22"/>
        </w:rPr>
        <w:t>-Trade)</w:t>
      </w:r>
    </w:p>
    <w:p w14:paraId="3A8F1084" w14:textId="39F6D6B0"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sehr geringer Verstädterungsgrad</w:t>
      </w:r>
    </w:p>
    <w:p w14:paraId="1D796DE6" w14:textId="4D96E259"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 xml:space="preserve">sehr geringer HDI-Wert </w:t>
      </w:r>
    </w:p>
    <w:p w14:paraId="5679D124" w14:textId="307643F4"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 xml:space="preserve">hoher Korruptionswahrnehmungsindex </w:t>
      </w:r>
    </w:p>
    <w:p w14:paraId="09B9D63F" w14:textId="4419B664" w:rsidR="00EE6E1C" w:rsidRPr="00F64E94" w:rsidRDefault="00EE6E1C" w:rsidP="00B761F2">
      <w:pPr>
        <w:pStyle w:val="StandardWeb"/>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Simbabwe ist als Land mit sehr geringem Entwicklungsstand einzustufen (Indikatoren Simbabwes treffen für ein LDC zu, Simbabwe hat aber eine offizielle Einstufung als LDC durch die UN abgelehnt und wird daher nicht in der LDC-Liste geführt)</w:t>
      </w:r>
    </w:p>
    <w:p w14:paraId="5583E8EF" w14:textId="77777777" w:rsidR="00B761F2" w:rsidRDefault="00B761F2" w:rsidP="00B761F2">
      <w:pPr>
        <w:ind w:left="284" w:hanging="284"/>
        <w:rPr>
          <w:sz w:val="22"/>
          <w:szCs w:val="22"/>
        </w:rPr>
      </w:pPr>
    </w:p>
    <w:p w14:paraId="10326E0A" w14:textId="6C2CA210" w:rsidR="00F64E94" w:rsidRDefault="00F64E94" w:rsidP="00B761F2">
      <w:pPr>
        <w:ind w:left="284" w:hanging="284"/>
        <w:rPr>
          <w:sz w:val="22"/>
          <w:szCs w:val="22"/>
        </w:rPr>
      </w:pPr>
      <w:r w:rsidRPr="0006064A">
        <w:rPr>
          <w:sz w:val="22"/>
          <w:szCs w:val="22"/>
        </w:rPr>
        <w:t xml:space="preserve">[2] </w:t>
      </w:r>
      <w:r w:rsidR="00EE6E1C" w:rsidRPr="00EE6E1C">
        <w:rPr>
          <w:sz w:val="22"/>
          <w:szCs w:val="22"/>
        </w:rPr>
        <w:t xml:space="preserve">Begründen </w:t>
      </w:r>
      <w:r w:rsidR="00EE6E1C">
        <w:rPr>
          <w:sz w:val="22"/>
          <w:szCs w:val="22"/>
        </w:rPr>
        <w:t xml:space="preserve">(AFB II) </w:t>
      </w:r>
      <w:r w:rsidR="00EE6E1C" w:rsidRPr="00EE6E1C">
        <w:rPr>
          <w:sz w:val="22"/>
          <w:szCs w:val="22"/>
        </w:rPr>
        <w:t>Sie ausgehend vom HDI</w:t>
      </w:r>
      <w:proofErr w:type="gramStart"/>
      <w:r w:rsidR="00EE6E1C" w:rsidRPr="00EE6E1C">
        <w:rPr>
          <w:sz w:val="22"/>
          <w:szCs w:val="22"/>
        </w:rPr>
        <w:t>, warum</w:t>
      </w:r>
      <w:proofErr w:type="gramEnd"/>
      <w:r w:rsidR="00EE6E1C" w:rsidRPr="00EE6E1C">
        <w:rPr>
          <w:sz w:val="22"/>
          <w:szCs w:val="22"/>
        </w:rPr>
        <w:t xml:space="preserve"> zur Charakterisierung des Entwicklungsstands eines Landes mehrere Faktoren herangezogen werden.</w:t>
      </w:r>
    </w:p>
    <w:p w14:paraId="56281B90" w14:textId="77777777" w:rsidR="00B761F2" w:rsidRPr="0006064A" w:rsidRDefault="00B761F2" w:rsidP="00B761F2">
      <w:pPr>
        <w:ind w:left="284" w:hanging="284"/>
        <w:rPr>
          <w:sz w:val="22"/>
          <w:szCs w:val="22"/>
        </w:rPr>
      </w:pPr>
    </w:p>
    <w:p w14:paraId="6CBF4325" w14:textId="68CC80B9" w:rsidR="00F64E94" w:rsidRPr="0006064A" w:rsidRDefault="00F64E94" w:rsidP="00B761F2">
      <w:pPr>
        <w:pStyle w:val="StandardWeb"/>
        <w:spacing w:before="0" w:beforeAutospacing="0" w:after="0" w:afterAutospacing="0"/>
        <w:rPr>
          <w:rFonts w:asciiTheme="minorHAnsi" w:hAnsiTheme="minorHAnsi" w:cstheme="minorHAnsi"/>
          <w:i/>
          <w:sz w:val="22"/>
          <w:szCs w:val="22"/>
        </w:rPr>
      </w:pPr>
      <w:r w:rsidRPr="0006064A">
        <w:rPr>
          <w:rFonts w:asciiTheme="minorHAnsi" w:hAnsiTheme="minorHAnsi" w:cstheme="minorHAnsi"/>
          <w:i/>
          <w:sz w:val="22"/>
          <w:szCs w:val="22"/>
        </w:rPr>
        <w:t>Die Aufgabenstellung verlangt</w:t>
      </w:r>
      <w:r w:rsidR="0006064A" w:rsidRPr="0006064A">
        <w:rPr>
          <w:rFonts w:asciiTheme="minorHAnsi" w:hAnsiTheme="minorHAnsi" w:cstheme="minorHAnsi"/>
          <w:i/>
          <w:sz w:val="22"/>
          <w:szCs w:val="22"/>
        </w:rPr>
        <w:t xml:space="preserve"> </w:t>
      </w:r>
      <w:r w:rsidR="00EE6E1C">
        <w:rPr>
          <w:rFonts w:asciiTheme="minorHAnsi" w:hAnsiTheme="minorHAnsi" w:cstheme="minorHAnsi"/>
          <w:i/>
          <w:sz w:val="22"/>
          <w:szCs w:val="22"/>
        </w:rPr>
        <w:t xml:space="preserve">die Verwendung mehrerer Faktoren zur  </w:t>
      </w:r>
      <w:r w:rsidR="00EE6E1C" w:rsidRPr="00EE6E1C">
        <w:rPr>
          <w:rFonts w:asciiTheme="minorHAnsi" w:hAnsiTheme="minorHAnsi" w:cstheme="minorHAnsi"/>
          <w:i/>
          <w:sz w:val="22"/>
          <w:szCs w:val="22"/>
        </w:rPr>
        <w:t xml:space="preserve">Charakterisierung des Entwicklungsstands eines Landes </w:t>
      </w:r>
      <w:r w:rsidR="00EE6E1C">
        <w:rPr>
          <w:rFonts w:asciiTheme="minorHAnsi" w:hAnsiTheme="minorHAnsi" w:cstheme="minorHAnsi"/>
          <w:i/>
          <w:sz w:val="22"/>
          <w:szCs w:val="22"/>
        </w:rPr>
        <w:t>argumentativ schlüssig zu entwickeln und im Zusammenhang darzustellen.</w:t>
      </w:r>
    </w:p>
    <w:p w14:paraId="1D24272A" w14:textId="295C1438"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HDI umfasst die Indikatoren Bruttonationaleinkommen pro Kopf, die Lebenserwartung und die Dauer der Ausbildung anhand der Anzahl an Schuljahren, da bspw. ein wirtschaftlich starkes Land im sozialen Bereich schwach sein kann</w:t>
      </w:r>
      <w:r w:rsidR="00867097">
        <w:rPr>
          <w:rFonts w:asciiTheme="minorHAnsi" w:hAnsiTheme="minorHAnsi" w:cstheme="minorHAnsi"/>
          <w:sz w:val="22"/>
          <w:szCs w:val="22"/>
        </w:rPr>
        <w:t xml:space="preserve"> und umgekehrt</w:t>
      </w:r>
    </w:p>
    <w:p w14:paraId="0EFF36ED" w14:textId="6F133F9F"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durch Indikatoren aus verschiedenen Bereichen (Wirtschaft, Gesellschaft, Politik, Ökologie...) umfassendere Charakterisierung des Entwicklungsstandes möglich (daher z.T. auch Erweiterungen des HDI, z.B. IHDI)</w:t>
      </w:r>
    </w:p>
    <w:p w14:paraId="6FEACC34" w14:textId="507CB265" w:rsidR="00EE6E1C" w:rsidRPr="00EE6E1C" w:rsidRDefault="00EE6E1C" w:rsidP="00B761F2">
      <w:pPr>
        <w:pStyle w:val="StandardWeb"/>
        <w:numPr>
          <w:ilvl w:val="0"/>
          <w:numId w:val="2"/>
        </w:numPr>
        <w:spacing w:before="0" w:beforeAutospacing="0" w:after="0" w:afterAutospacing="0"/>
        <w:rPr>
          <w:rFonts w:asciiTheme="minorHAnsi" w:hAnsiTheme="minorHAnsi" w:cstheme="minorHAnsi"/>
          <w:sz w:val="22"/>
          <w:szCs w:val="22"/>
        </w:rPr>
      </w:pPr>
      <w:r w:rsidRPr="00EE6E1C">
        <w:rPr>
          <w:rFonts w:asciiTheme="minorHAnsi" w:hAnsiTheme="minorHAnsi" w:cstheme="minorHAnsi"/>
          <w:sz w:val="22"/>
          <w:szCs w:val="22"/>
        </w:rPr>
        <w:t>(dennoch: oft nur Durchschnittswerte, aber regionale und soziale Disparitäten)</w:t>
      </w:r>
    </w:p>
    <w:p w14:paraId="5BB6507B" w14:textId="77777777" w:rsidR="00B761F2" w:rsidRDefault="00B761F2" w:rsidP="00B761F2">
      <w:pPr>
        <w:ind w:left="284" w:hanging="284"/>
        <w:rPr>
          <w:sz w:val="22"/>
          <w:szCs w:val="22"/>
        </w:rPr>
      </w:pPr>
    </w:p>
    <w:p w14:paraId="47BE34F7" w14:textId="28756671" w:rsidR="0006064A" w:rsidRPr="0006064A" w:rsidRDefault="0006064A" w:rsidP="00B761F2">
      <w:pPr>
        <w:ind w:left="284" w:hanging="284"/>
        <w:rPr>
          <w:sz w:val="22"/>
          <w:szCs w:val="22"/>
        </w:rPr>
      </w:pPr>
      <w:r w:rsidRPr="0006064A">
        <w:rPr>
          <w:sz w:val="22"/>
          <w:szCs w:val="22"/>
        </w:rPr>
        <w:t xml:space="preserve">[3] </w:t>
      </w:r>
      <w:r w:rsidR="00F37BD6" w:rsidRPr="00F37BD6">
        <w:rPr>
          <w:sz w:val="22"/>
          <w:szCs w:val="22"/>
        </w:rPr>
        <w:t xml:space="preserve">Erörtern </w:t>
      </w:r>
      <w:r w:rsidR="00E02FA6">
        <w:rPr>
          <w:sz w:val="22"/>
          <w:szCs w:val="22"/>
        </w:rPr>
        <w:t xml:space="preserve">(AFB III) </w:t>
      </w:r>
      <w:r w:rsidR="00F37BD6" w:rsidRPr="00F37BD6">
        <w:rPr>
          <w:sz w:val="22"/>
          <w:szCs w:val="22"/>
        </w:rPr>
        <w:t>Sie ausgehend von M1 die Chancen und Risiken der wirtschaftlichen Entwicklung Südafrikas.</w:t>
      </w:r>
    </w:p>
    <w:p w14:paraId="7C3A7178" w14:textId="77777777" w:rsidR="00B761F2" w:rsidRDefault="00B761F2" w:rsidP="00B761F2">
      <w:pPr>
        <w:pStyle w:val="StandardWeb"/>
        <w:spacing w:before="0" w:beforeAutospacing="0" w:after="0" w:afterAutospacing="0"/>
        <w:rPr>
          <w:rFonts w:asciiTheme="minorHAnsi" w:hAnsiTheme="minorHAnsi" w:cstheme="minorHAnsi"/>
          <w:i/>
          <w:sz w:val="22"/>
          <w:szCs w:val="22"/>
        </w:rPr>
      </w:pPr>
    </w:p>
    <w:p w14:paraId="3B5AEB10" w14:textId="6B806D76" w:rsidR="00356ADA" w:rsidRPr="0006064A" w:rsidRDefault="0006064A" w:rsidP="00B761F2">
      <w:pPr>
        <w:pStyle w:val="StandardWeb"/>
        <w:spacing w:before="0" w:beforeAutospacing="0" w:after="0" w:afterAutospacing="0"/>
        <w:rPr>
          <w:rFonts w:asciiTheme="minorHAnsi" w:hAnsiTheme="minorHAnsi" w:cstheme="minorHAnsi"/>
          <w:i/>
          <w:sz w:val="22"/>
          <w:szCs w:val="22"/>
        </w:rPr>
      </w:pPr>
      <w:r w:rsidRPr="0006064A">
        <w:rPr>
          <w:rFonts w:asciiTheme="minorHAnsi" w:hAnsiTheme="minorHAnsi" w:cstheme="minorHAnsi"/>
          <w:i/>
          <w:sz w:val="22"/>
          <w:szCs w:val="22"/>
        </w:rPr>
        <w:t xml:space="preserve">Die Aufgabenstellung verlangt </w:t>
      </w:r>
      <w:r w:rsidR="00E02FA6">
        <w:rPr>
          <w:rFonts w:asciiTheme="minorHAnsi" w:hAnsiTheme="minorHAnsi" w:cstheme="minorHAnsi"/>
          <w:i/>
          <w:sz w:val="22"/>
          <w:szCs w:val="22"/>
        </w:rPr>
        <w:t>durch Abwägen von Für- (Chancen) und Wider-Argumenten (Risiken) ein begründetes Urteil zur wirtschaftliche</w:t>
      </w:r>
      <w:r w:rsidR="00E61734">
        <w:rPr>
          <w:rFonts w:asciiTheme="minorHAnsi" w:hAnsiTheme="minorHAnsi" w:cstheme="minorHAnsi"/>
          <w:i/>
          <w:sz w:val="22"/>
          <w:szCs w:val="22"/>
        </w:rPr>
        <w:t>n</w:t>
      </w:r>
      <w:r w:rsidR="00E02FA6">
        <w:rPr>
          <w:rFonts w:asciiTheme="minorHAnsi" w:hAnsiTheme="minorHAnsi" w:cstheme="minorHAnsi"/>
          <w:i/>
          <w:sz w:val="22"/>
          <w:szCs w:val="22"/>
        </w:rPr>
        <w:t xml:space="preserve"> Entwicklung Südafrikas </w:t>
      </w:r>
      <w:r w:rsidR="005F28F2">
        <w:rPr>
          <w:rFonts w:asciiTheme="minorHAnsi" w:hAnsiTheme="minorHAnsi" w:cstheme="minorHAnsi"/>
          <w:i/>
          <w:sz w:val="22"/>
          <w:szCs w:val="22"/>
        </w:rPr>
        <w:t>zu fällen.</w:t>
      </w:r>
    </w:p>
    <w:p w14:paraId="69201349" w14:textId="77777777" w:rsidR="00B761F2" w:rsidRDefault="00B761F2" w:rsidP="00B761F2">
      <w:pPr>
        <w:pStyle w:val="StandardWeb"/>
        <w:spacing w:before="0" w:beforeAutospacing="0" w:after="0" w:afterAutospacing="0"/>
        <w:rPr>
          <w:rFonts w:asciiTheme="minorHAnsi" w:hAnsiTheme="minorHAnsi" w:cstheme="minorHAnsi"/>
          <w:sz w:val="22"/>
          <w:szCs w:val="22"/>
        </w:rPr>
      </w:pPr>
    </w:p>
    <w:p w14:paraId="29F8A21A" w14:textId="3802760A" w:rsidR="00753EF6" w:rsidRPr="00F64E94" w:rsidRDefault="00D30F14" w:rsidP="00B761F2">
      <w:pPr>
        <w:pStyle w:val="Standard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Chancen, z.B.</w:t>
      </w:r>
    </w:p>
    <w:p w14:paraId="3828E151" w14:textId="25C7F08D"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recht hoher HDI-Wert (dicht unterhalb Schwellenwert für hohe menschliche Entwicklung)</w:t>
      </w:r>
    </w:p>
    <w:p w14:paraId="1358B639" w14:textId="02640E22"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mittleres BIP/Kopf, was auf stattfindende wirtschaftliche Entwicklung hindeuten kann</w:t>
      </w:r>
    </w:p>
    <w:p w14:paraId="4D535B5C" w14:textId="537EEC6E"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 xml:space="preserve">Dominanz des tertiären Sektors, vermutlich </w:t>
      </w:r>
      <w:proofErr w:type="spellStart"/>
      <w:r w:rsidRPr="00D30F14">
        <w:rPr>
          <w:rFonts w:asciiTheme="minorHAnsi" w:hAnsiTheme="minorHAnsi" w:cstheme="minorHAnsi"/>
          <w:sz w:val="22"/>
          <w:szCs w:val="22"/>
        </w:rPr>
        <w:t>Tertiärisierungsprozess</w:t>
      </w:r>
      <w:proofErr w:type="spellEnd"/>
    </w:p>
    <w:p w14:paraId="11E4AA2C" w14:textId="47411164"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Ausstattung mit Erzen als wichtigen Welthandelsgütern</w:t>
      </w:r>
    </w:p>
    <w:p w14:paraId="0C6113FB" w14:textId="2644FED3"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mit China wirtschaftsstarker Exportpartner</w:t>
      </w:r>
    </w:p>
    <w:p w14:paraId="03484E4B" w14:textId="3FF0A1CB"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verbesserter Korruptionswahrnehmungsindex (im Vgl. zu Simbabwe)</w:t>
      </w:r>
    </w:p>
    <w:p w14:paraId="426F7864" w14:textId="3C259B4C" w:rsidR="000E4D36" w:rsidRDefault="00D30F14" w:rsidP="00B761F2">
      <w:pPr>
        <w:pStyle w:val="Standard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Risiken, z.B.</w:t>
      </w:r>
    </w:p>
    <w:p w14:paraId="3D5F2A8F" w14:textId="39609D51"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HDI noch im mittleren Bereichen, evtl. Defizite bei Lebenserwartung oder Ausbildungsdauer</w:t>
      </w:r>
    </w:p>
    <w:p w14:paraId="06F08466" w14:textId="4A7FFABA"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Rohstoffexport mit Gefahr von Abhängigkeit vom Weltmarkt(preis)</w:t>
      </w:r>
    </w:p>
    <w:p w14:paraId="5413E55D" w14:textId="2AC2844B"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ggf. wirtschaftliche Abhängigkeit bzw. Einflussnahme von China</w:t>
      </w:r>
    </w:p>
    <w:p w14:paraId="1A53165A" w14:textId="0359F91B" w:rsidR="00D30F14" w:rsidRPr="00D30F14" w:rsidRDefault="00D30F14" w:rsidP="00B761F2">
      <w:pPr>
        <w:pStyle w:val="StandardWeb"/>
        <w:numPr>
          <w:ilvl w:val="0"/>
          <w:numId w:val="2"/>
        </w:numPr>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Korruptionswahrnehmungsindex recht hoch (im Vergleich zu Deutschland)</w:t>
      </w:r>
    </w:p>
    <w:p w14:paraId="30D4FCB3" w14:textId="75EF2B87" w:rsidR="00B761F2" w:rsidRPr="00B761F2" w:rsidRDefault="00D30F14" w:rsidP="00B761F2">
      <w:pPr>
        <w:pStyle w:val="StandardWeb"/>
        <w:spacing w:before="0" w:beforeAutospacing="0" w:after="0" w:afterAutospacing="0"/>
        <w:rPr>
          <w:rFonts w:asciiTheme="minorHAnsi" w:hAnsiTheme="minorHAnsi" w:cstheme="minorHAnsi"/>
          <w:sz w:val="22"/>
          <w:szCs w:val="22"/>
        </w:rPr>
      </w:pPr>
      <w:r w:rsidRPr="00D30F14">
        <w:rPr>
          <w:rFonts w:asciiTheme="minorHAnsi" w:hAnsiTheme="minorHAnsi" w:cstheme="minorHAnsi"/>
          <w:sz w:val="22"/>
          <w:szCs w:val="22"/>
        </w:rPr>
        <w:t>Fazit</w:t>
      </w:r>
      <w:r>
        <w:rPr>
          <w:rFonts w:asciiTheme="minorHAnsi" w:hAnsiTheme="minorHAnsi" w:cstheme="minorHAnsi"/>
          <w:sz w:val="22"/>
          <w:szCs w:val="22"/>
        </w:rPr>
        <w:br/>
      </w:r>
      <w:r w:rsidRPr="00D30F14">
        <w:rPr>
          <w:rFonts w:asciiTheme="minorHAnsi" w:hAnsiTheme="minorHAnsi" w:cstheme="minorHAnsi"/>
          <w:sz w:val="22"/>
          <w:szCs w:val="22"/>
        </w:rPr>
        <w:t>Trotz z.T. recht guter Entwicklungsindikatoren und Rohstoffvorkommen ist wirtschaftliche Entwicklung nicht gewährleistet.</w:t>
      </w:r>
      <w:r w:rsidR="00B761F2">
        <w:rPr>
          <w:rFonts w:asciiTheme="minorHAnsi" w:hAnsiTheme="minorHAnsi" w:cstheme="minorHAnsi"/>
          <w:sz w:val="22"/>
          <w:szCs w:val="22"/>
        </w:rPr>
        <w:br w:type="page"/>
      </w:r>
    </w:p>
    <w:p w14:paraId="3AFA1C18" w14:textId="3C2E8BC3" w:rsidR="006E6F02" w:rsidRPr="00D67074" w:rsidRDefault="00C61F53" w:rsidP="000E4D36">
      <w:pPr>
        <w:rPr>
          <w:b/>
          <w:sz w:val="22"/>
          <w:szCs w:val="22"/>
        </w:rPr>
      </w:pPr>
      <w:r w:rsidRPr="00D67074">
        <w:rPr>
          <w:b/>
          <w:sz w:val="22"/>
          <w:szCs w:val="22"/>
        </w:rPr>
        <w:lastRenderedPageBreak/>
        <w:t>Möglich</w:t>
      </w:r>
      <w:r w:rsidR="00D67074" w:rsidRPr="00D67074">
        <w:rPr>
          <w:b/>
          <w:sz w:val="22"/>
          <w:szCs w:val="22"/>
        </w:rPr>
        <w:t>e Aspekte für das Kolloquium im Schwerpunktfach</w:t>
      </w:r>
    </w:p>
    <w:p w14:paraId="235091B6" w14:textId="77777777" w:rsidR="0006064A" w:rsidRPr="00D67074" w:rsidRDefault="0006064A" w:rsidP="0006064A">
      <w:pPr>
        <w:rPr>
          <w:color w:val="FF0000"/>
          <w:sz w:val="22"/>
          <w:szCs w:val="22"/>
        </w:rPr>
      </w:pPr>
    </w:p>
    <w:p w14:paraId="586BDAA0" w14:textId="35EB55B8" w:rsidR="0006064A" w:rsidRPr="00D67074" w:rsidRDefault="00E61734" w:rsidP="00D67074">
      <w:pPr>
        <w:pStyle w:val="Listenabsatz"/>
        <w:numPr>
          <w:ilvl w:val="0"/>
          <w:numId w:val="16"/>
        </w:numPr>
        <w:ind w:left="426" w:hanging="426"/>
        <w:rPr>
          <w:color w:val="000000" w:themeColor="text1"/>
          <w:sz w:val="22"/>
          <w:szCs w:val="22"/>
        </w:rPr>
      </w:pPr>
      <w:r w:rsidRPr="00D67074">
        <w:rPr>
          <w:color w:val="000000" w:themeColor="text1"/>
          <w:sz w:val="22"/>
          <w:szCs w:val="22"/>
        </w:rPr>
        <w:t xml:space="preserve">Entwicklungsstand: </w:t>
      </w:r>
      <w:r w:rsidRPr="00D67074">
        <w:rPr>
          <w:color w:val="000000" w:themeColor="text1"/>
          <w:sz w:val="22"/>
          <w:szCs w:val="22"/>
        </w:rPr>
        <w:br/>
        <w:t xml:space="preserve">Einteilung nach Entwicklungsstand (Schwellenland...), Ursachen </w:t>
      </w:r>
      <w:proofErr w:type="spellStart"/>
      <w:r w:rsidRPr="00D67074">
        <w:rPr>
          <w:color w:val="000000" w:themeColor="text1"/>
          <w:sz w:val="22"/>
          <w:szCs w:val="22"/>
        </w:rPr>
        <w:t>disparitärer</w:t>
      </w:r>
      <w:proofErr w:type="spellEnd"/>
      <w:r w:rsidRPr="00D67074">
        <w:rPr>
          <w:color w:val="000000" w:themeColor="text1"/>
          <w:sz w:val="22"/>
          <w:szCs w:val="22"/>
        </w:rPr>
        <w:t xml:space="preserve"> Entwicklungen, Entwicklungsstrategien, nachhaltige Entwicklungsziele</w:t>
      </w:r>
    </w:p>
    <w:p w14:paraId="11FFE480" w14:textId="77777777" w:rsidR="0006064A" w:rsidRPr="00D67074" w:rsidRDefault="0006064A" w:rsidP="00D67074">
      <w:pPr>
        <w:ind w:left="426" w:hanging="426"/>
        <w:rPr>
          <w:b/>
          <w:color w:val="000000" w:themeColor="text1"/>
          <w:sz w:val="22"/>
          <w:szCs w:val="22"/>
        </w:rPr>
      </w:pPr>
    </w:p>
    <w:p w14:paraId="56E786C1" w14:textId="0B0B33EB" w:rsidR="00C61F53" w:rsidRPr="00D67074" w:rsidRDefault="00E61734" w:rsidP="00D67074">
      <w:pPr>
        <w:pStyle w:val="Listenabsatz"/>
        <w:numPr>
          <w:ilvl w:val="0"/>
          <w:numId w:val="16"/>
        </w:numPr>
        <w:ind w:left="426" w:hanging="426"/>
        <w:rPr>
          <w:color w:val="000000" w:themeColor="text1"/>
          <w:sz w:val="22"/>
          <w:szCs w:val="22"/>
        </w:rPr>
      </w:pPr>
      <w:r w:rsidRPr="00D67074">
        <w:rPr>
          <w:color w:val="000000" w:themeColor="text1"/>
          <w:sz w:val="22"/>
          <w:szCs w:val="22"/>
        </w:rPr>
        <w:t>Globalisierung</w:t>
      </w:r>
      <w:r w:rsidR="00C61F53" w:rsidRPr="00D67074">
        <w:rPr>
          <w:color w:val="000000" w:themeColor="text1"/>
          <w:sz w:val="22"/>
          <w:szCs w:val="22"/>
        </w:rPr>
        <w:t xml:space="preserve">: </w:t>
      </w:r>
      <w:r w:rsidRPr="00D67074">
        <w:rPr>
          <w:color w:val="000000" w:themeColor="text1"/>
          <w:sz w:val="22"/>
          <w:szCs w:val="22"/>
        </w:rPr>
        <w:br/>
        <w:t>weltweite Verflechtungen und Abhängigkeiten im Prozess der Globalisierung</w:t>
      </w:r>
    </w:p>
    <w:p w14:paraId="5C36482E" w14:textId="297BE32E" w:rsidR="00C61F53" w:rsidRPr="00D67074" w:rsidRDefault="00C61F53" w:rsidP="000E4D36">
      <w:pPr>
        <w:rPr>
          <w:color w:val="FF0000"/>
          <w:sz w:val="22"/>
          <w:szCs w:val="22"/>
        </w:rPr>
      </w:pPr>
    </w:p>
    <w:p w14:paraId="676F46F2" w14:textId="3E149826" w:rsidR="00D84041" w:rsidRPr="00D67074" w:rsidRDefault="00D84041">
      <w:pPr>
        <w:rPr>
          <w:sz w:val="22"/>
          <w:szCs w:val="22"/>
        </w:rPr>
      </w:pPr>
    </w:p>
    <w:tbl>
      <w:tblPr>
        <w:tblStyle w:val="Tabellenraster"/>
        <w:tblW w:w="9889" w:type="dxa"/>
        <w:tblLayout w:type="fixed"/>
        <w:tblLook w:val="04A0" w:firstRow="1" w:lastRow="0" w:firstColumn="1" w:lastColumn="0" w:noHBand="0" w:noVBand="1"/>
      </w:tblPr>
      <w:tblGrid>
        <w:gridCol w:w="2235"/>
        <w:gridCol w:w="5528"/>
        <w:gridCol w:w="2126"/>
      </w:tblGrid>
      <w:tr w:rsidR="00D67074" w:rsidRPr="00D67074" w14:paraId="1F9AC376" w14:textId="77777777" w:rsidTr="00D67074">
        <w:tc>
          <w:tcPr>
            <w:tcW w:w="2235" w:type="dxa"/>
            <w:shd w:val="clear" w:color="auto" w:fill="92D050"/>
          </w:tcPr>
          <w:p w14:paraId="4E06C846" w14:textId="77777777" w:rsidR="00D84041" w:rsidRPr="00D67074" w:rsidRDefault="00D84041" w:rsidP="00AC5D8F">
            <w:pPr>
              <w:rPr>
                <w:b/>
                <w:sz w:val="22"/>
                <w:szCs w:val="22"/>
              </w:rPr>
            </w:pPr>
            <w:r w:rsidRPr="00D67074">
              <w:rPr>
                <w:b/>
                <w:sz w:val="22"/>
                <w:szCs w:val="22"/>
              </w:rPr>
              <w:t>Bildungsplanbezug</w:t>
            </w:r>
          </w:p>
        </w:tc>
        <w:tc>
          <w:tcPr>
            <w:tcW w:w="5528" w:type="dxa"/>
            <w:shd w:val="clear" w:color="auto" w:fill="92D050"/>
          </w:tcPr>
          <w:p w14:paraId="5156DD8E" w14:textId="77777777" w:rsidR="00FB4D5E" w:rsidRDefault="00D84041" w:rsidP="00AC5D8F">
            <w:pPr>
              <w:jc w:val="center"/>
              <w:rPr>
                <w:b/>
                <w:sz w:val="22"/>
                <w:szCs w:val="22"/>
              </w:rPr>
            </w:pPr>
            <w:r w:rsidRPr="00D67074">
              <w:rPr>
                <w:b/>
                <w:sz w:val="22"/>
                <w:szCs w:val="22"/>
              </w:rPr>
              <w:t>Bildungsplan 2004</w:t>
            </w:r>
            <w:r w:rsidR="00FB4D5E">
              <w:rPr>
                <w:b/>
                <w:sz w:val="22"/>
                <w:szCs w:val="22"/>
              </w:rPr>
              <w:t xml:space="preserve"> </w:t>
            </w:r>
          </w:p>
          <w:p w14:paraId="753E0735" w14:textId="0C7E60FD" w:rsidR="00D84041" w:rsidRPr="00D67074" w:rsidRDefault="00FB4D5E" w:rsidP="00AC5D8F">
            <w:pPr>
              <w:jc w:val="center"/>
              <w:rPr>
                <w:b/>
                <w:sz w:val="22"/>
                <w:szCs w:val="22"/>
              </w:rPr>
            </w:pPr>
            <w:r>
              <w:rPr>
                <w:b/>
                <w:sz w:val="22"/>
                <w:szCs w:val="22"/>
              </w:rPr>
              <w:t>(gilt bis Abitur 2022)</w:t>
            </w:r>
          </w:p>
        </w:tc>
        <w:tc>
          <w:tcPr>
            <w:tcW w:w="2126" w:type="dxa"/>
            <w:shd w:val="clear" w:color="auto" w:fill="92D050"/>
          </w:tcPr>
          <w:p w14:paraId="67A77E07" w14:textId="675B7990" w:rsidR="00D84041" w:rsidRPr="00D67074" w:rsidRDefault="00D84041" w:rsidP="00AC5D8F">
            <w:pPr>
              <w:jc w:val="center"/>
              <w:rPr>
                <w:b/>
                <w:sz w:val="22"/>
                <w:szCs w:val="22"/>
              </w:rPr>
            </w:pPr>
            <w:r w:rsidRPr="00D67074">
              <w:rPr>
                <w:b/>
                <w:sz w:val="22"/>
                <w:szCs w:val="22"/>
              </w:rPr>
              <w:t>Bildungsplan 2016</w:t>
            </w:r>
            <w:r w:rsidR="00FB4D5E">
              <w:rPr>
                <w:b/>
                <w:sz w:val="22"/>
                <w:szCs w:val="22"/>
              </w:rPr>
              <w:t xml:space="preserve"> (gilt ab Abitur 2023)</w:t>
            </w:r>
            <w:bookmarkStart w:id="0" w:name="_GoBack"/>
            <w:bookmarkEnd w:id="0"/>
          </w:p>
        </w:tc>
      </w:tr>
      <w:tr w:rsidR="00D67074" w:rsidRPr="00D67074" w14:paraId="0C62302B" w14:textId="77777777" w:rsidTr="00D67074">
        <w:tc>
          <w:tcPr>
            <w:tcW w:w="2235" w:type="dxa"/>
            <w:vAlign w:val="center"/>
          </w:tcPr>
          <w:p w14:paraId="0F495572" w14:textId="77777777" w:rsidR="00D84041" w:rsidRPr="00D67074" w:rsidRDefault="00D84041" w:rsidP="00AC5D8F">
            <w:pPr>
              <w:rPr>
                <w:sz w:val="22"/>
                <w:szCs w:val="22"/>
              </w:rPr>
            </w:pPr>
            <w:r w:rsidRPr="00D67074">
              <w:rPr>
                <w:sz w:val="22"/>
                <w:szCs w:val="22"/>
              </w:rPr>
              <w:t>Bildungsstandards/</w:t>
            </w:r>
          </w:p>
          <w:p w14:paraId="0B5FA626" w14:textId="77777777" w:rsidR="00D84041" w:rsidRPr="00D67074" w:rsidRDefault="00D84041" w:rsidP="00AC5D8F">
            <w:pPr>
              <w:rPr>
                <w:sz w:val="22"/>
                <w:szCs w:val="22"/>
              </w:rPr>
            </w:pPr>
            <w:r w:rsidRPr="00D67074">
              <w:rPr>
                <w:sz w:val="22"/>
                <w:szCs w:val="22"/>
              </w:rPr>
              <w:t>Inhaltsbezogene Standards</w:t>
            </w:r>
          </w:p>
        </w:tc>
        <w:tc>
          <w:tcPr>
            <w:tcW w:w="5528" w:type="dxa"/>
          </w:tcPr>
          <w:p w14:paraId="2B95351F" w14:textId="3CBE711B" w:rsidR="00F00F99" w:rsidRPr="00D67074" w:rsidRDefault="00F00F99" w:rsidP="00F00F99">
            <w:pPr>
              <w:rPr>
                <w:sz w:val="22"/>
                <w:szCs w:val="22"/>
              </w:rPr>
            </w:pPr>
            <w:r w:rsidRPr="00D67074">
              <w:rPr>
                <w:b/>
                <w:sz w:val="22"/>
                <w:szCs w:val="22"/>
              </w:rPr>
              <w:t xml:space="preserve">3. Themenfeld </w:t>
            </w:r>
          </w:p>
          <w:p w14:paraId="399847FB" w14:textId="220E29D3" w:rsidR="00F00F99" w:rsidRPr="00D67074" w:rsidRDefault="00F00F99" w:rsidP="00F00F99">
            <w:pPr>
              <w:rPr>
                <w:b/>
                <w:sz w:val="22"/>
                <w:szCs w:val="22"/>
              </w:rPr>
            </w:pPr>
            <w:r w:rsidRPr="00D67074">
              <w:rPr>
                <w:sz w:val="22"/>
                <w:szCs w:val="22"/>
              </w:rPr>
              <w:t>Die Schülerinnen und Schüler können</w:t>
            </w:r>
          </w:p>
          <w:p w14:paraId="66EB3D27" w14:textId="47D37093" w:rsidR="00D84041" w:rsidRPr="00D67074" w:rsidRDefault="00F00F99" w:rsidP="00D67074">
            <w:pPr>
              <w:pStyle w:val="Listenabsatz"/>
              <w:numPr>
                <w:ilvl w:val="0"/>
                <w:numId w:val="17"/>
              </w:numPr>
              <w:ind w:left="317" w:hanging="284"/>
              <w:rPr>
                <w:sz w:val="22"/>
                <w:szCs w:val="22"/>
              </w:rPr>
            </w:pPr>
            <w:r w:rsidRPr="00D67074">
              <w:rPr>
                <w:sz w:val="22"/>
                <w:szCs w:val="22"/>
              </w:rPr>
              <w:t>Räume unterschiedlichen Entwicklungsstandes im Globalisierungs</w:t>
            </w:r>
            <w:r w:rsidR="00E61734" w:rsidRPr="00D67074">
              <w:rPr>
                <w:sz w:val="22"/>
                <w:szCs w:val="22"/>
              </w:rPr>
              <w:t>-</w:t>
            </w:r>
            <w:r w:rsidRPr="00D67074">
              <w:rPr>
                <w:sz w:val="22"/>
                <w:szCs w:val="22"/>
              </w:rPr>
              <w:t>prozess von Wirtschaft und Gesellschaft in ihren Grundzügen analysieren</w:t>
            </w:r>
          </w:p>
          <w:p w14:paraId="21C78A53" w14:textId="2960CBDE" w:rsidR="00F00F99" w:rsidRPr="00D67074" w:rsidRDefault="00F00F99" w:rsidP="00D67074">
            <w:pPr>
              <w:pStyle w:val="Listenabsatz"/>
              <w:numPr>
                <w:ilvl w:val="0"/>
                <w:numId w:val="17"/>
              </w:numPr>
              <w:ind w:left="317" w:hanging="284"/>
              <w:rPr>
                <w:sz w:val="22"/>
                <w:szCs w:val="22"/>
              </w:rPr>
            </w:pPr>
            <w:r w:rsidRPr="00D67074">
              <w:rPr>
                <w:sz w:val="22"/>
                <w:szCs w:val="22"/>
              </w:rPr>
              <w:t>einige der weltweiten Verflechtungen und Abhängigkeiten im Prozess der Globalisierung aufzeigen</w:t>
            </w:r>
          </w:p>
        </w:tc>
        <w:tc>
          <w:tcPr>
            <w:tcW w:w="2126" w:type="dxa"/>
          </w:tcPr>
          <w:p w14:paraId="18DC7B1E" w14:textId="371DB855" w:rsidR="00F00F99" w:rsidRPr="00D67074" w:rsidRDefault="00F00F99" w:rsidP="00D67074">
            <w:pPr>
              <w:rPr>
                <w:sz w:val="22"/>
                <w:szCs w:val="22"/>
              </w:rPr>
            </w:pPr>
            <w:r w:rsidRPr="00D67074">
              <w:rPr>
                <w:b/>
                <w:sz w:val="22"/>
                <w:szCs w:val="22"/>
              </w:rPr>
              <w:t xml:space="preserve">3.4.2.4 </w:t>
            </w:r>
          </w:p>
          <w:p w14:paraId="57CCCB50" w14:textId="77777777" w:rsidR="00FB23B5" w:rsidRPr="00D67074" w:rsidRDefault="00FB23B5" w:rsidP="000A49E4">
            <w:pPr>
              <w:rPr>
                <w:sz w:val="22"/>
                <w:szCs w:val="22"/>
              </w:rPr>
            </w:pPr>
          </w:p>
          <w:p w14:paraId="5A97CB61" w14:textId="514B7B7A" w:rsidR="00FB23B5" w:rsidRPr="00D67074" w:rsidRDefault="00FB23B5" w:rsidP="000A49E4">
            <w:pPr>
              <w:rPr>
                <w:sz w:val="22"/>
                <w:szCs w:val="22"/>
              </w:rPr>
            </w:pPr>
          </w:p>
        </w:tc>
      </w:tr>
      <w:tr w:rsidR="00D67074" w:rsidRPr="00D67074" w14:paraId="1148C194" w14:textId="77777777" w:rsidTr="00D67074">
        <w:tc>
          <w:tcPr>
            <w:tcW w:w="2235" w:type="dxa"/>
            <w:vAlign w:val="center"/>
          </w:tcPr>
          <w:p w14:paraId="2DDE92A0" w14:textId="77777777" w:rsidR="00D84041" w:rsidRPr="00D67074" w:rsidRDefault="00D84041" w:rsidP="00AC5D8F">
            <w:pPr>
              <w:rPr>
                <w:sz w:val="22"/>
                <w:szCs w:val="22"/>
              </w:rPr>
            </w:pPr>
            <w:r w:rsidRPr="00D67074">
              <w:rPr>
                <w:sz w:val="22"/>
                <w:szCs w:val="22"/>
              </w:rPr>
              <w:t>Kompetenzerwerb/</w:t>
            </w:r>
          </w:p>
          <w:p w14:paraId="4EABD605" w14:textId="77777777" w:rsidR="00D84041" w:rsidRPr="00D67074" w:rsidRDefault="00D84041" w:rsidP="00AC5D8F">
            <w:pPr>
              <w:rPr>
                <w:sz w:val="22"/>
                <w:szCs w:val="22"/>
              </w:rPr>
            </w:pPr>
            <w:r w:rsidRPr="00D67074">
              <w:rPr>
                <w:sz w:val="22"/>
                <w:szCs w:val="22"/>
              </w:rPr>
              <w:t>Prozessbezogene Standards</w:t>
            </w:r>
          </w:p>
        </w:tc>
        <w:tc>
          <w:tcPr>
            <w:tcW w:w="5528" w:type="dxa"/>
          </w:tcPr>
          <w:p w14:paraId="04042298" w14:textId="7105DFEA" w:rsidR="00D84041" w:rsidRPr="00D67074" w:rsidRDefault="009264C7" w:rsidP="00D67074">
            <w:pPr>
              <w:pStyle w:val="StandardWeb"/>
              <w:rPr>
                <w:rFonts w:cstheme="minorHAnsi"/>
                <w:color w:val="000000" w:themeColor="text1"/>
                <w:sz w:val="22"/>
                <w:szCs w:val="22"/>
              </w:rPr>
            </w:pPr>
            <w:r w:rsidRPr="00D67074">
              <w:rPr>
                <w:rFonts w:asciiTheme="minorHAnsi" w:hAnsiTheme="minorHAnsi" w:cstheme="minorHAnsi"/>
                <w:color w:val="000000" w:themeColor="text1"/>
                <w:sz w:val="22"/>
                <w:szCs w:val="22"/>
              </w:rPr>
              <w:t xml:space="preserve">Die Schülerinnen und Schüler können </w:t>
            </w:r>
            <w:r w:rsidRPr="00D67074">
              <w:rPr>
                <w:rFonts w:asciiTheme="minorHAnsi" w:eastAsiaTheme="minorHAnsi" w:hAnsiTheme="minorHAnsi" w:cstheme="minorBidi"/>
                <w:color w:val="000000" w:themeColor="text1"/>
                <w:sz w:val="22"/>
                <w:szCs w:val="22"/>
                <w:lang w:eastAsia="en-US"/>
              </w:rPr>
              <w:t>Informationen aus Karten, Texten, Grafiken, Diagrammen, Statistiken, Bildern, Thermalscanner-aufnahmen und Satellitenbildern gewinnen,</w:t>
            </w:r>
            <w:r w:rsidR="00E61734" w:rsidRPr="00D67074">
              <w:rPr>
                <w:rFonts w:asciiTheme="minorHAnsi" w:eastAsiaTheme="minorHAnsi" w:hAnsiTheme="minorHAnsi" w:cstheme="minorBidi"/>
                <w:color w:val="000000" w:themeColor="text1"/>
                <w:sz w:val="22"/>
                <w:szCs w:val="22"/>
                <w:lang w:eastAsia="en-US"/>
              </w:rPr>
              <w:t xml:space="preserve"> </w:t>
            </w:r>
            <w:r w:rsidRPr="00D67074">
              <w:rPr>
                <w:rFonts w:asciiTheme="minorHAnsi" w:eastAsiaTheme="minorHAnsi" w:hAnsiTheme="minorHAnsi" w:cstheme="minorBidi"/>
                <w:color w:val="000000" w:themeColor="text1"/>
                <w:sz w:val="22"/>
                <w:szCs w:val="22"/>
                <w:lang w:eastAsia="en-US"/>
              </w:rPr>
              <w:t>inter-</w:t>
            </w:r>
            <w:proofErr w:type="spellStart"/>
            <w:r w:rsidRPr="00D67074">
              <w:rPr>
                <w:rFonts w:asciiTheme="minorHAnsi" w:eastAsiaTheme="minorHAnsi" w:hAnsiTheme="minorHAnsi" w:cstheme="minorBidi"/>
                <w:color w:val="000000" w:themeColor="text1"/>
                <w:sz w:val="22"/>
                <w:szCs w:val="22"/>
                <w:lang w:eastAsia="en-US"/>
              </w:rPr>
              <w:t>pretieren</w:t>
            </w:r>
            <w:proofErr w:type="spellEnd"/>
            <w:r w:rsidRPr="00D67074">
              <w:rPr>
                <w:rFonts w:asciiTheme="minorHAnsi" w:eastAsiaTheme="minorHAnsi" w:hAnsiTheme="minorHAnsi" w:cstheme="minorBidi"/>
                <w:color w:val="000000" w:themeColor="text1"/>
                <w:sz w:val="22"/>
                <w:szCs w:val="22"/>
                <w:lang w:eastAsia="en-US"/>
              </w:rPr>
              <w:t xml:space="preserve">, bearbeiten, dokumentieren, beurteilen und </w:t>
            </w:r>
          </w:p>
        </w:tc>
        <w:tc>
          <w:tcPr>
            <w:tcW w:w="2126" w:type="dxa"/>
          </w:tcPr>
          <w:p w14:paraId="5B23DEFB" w14:textId="2F35C474" w:rsidR="00D67074" w:rsidRPr="00D67074" w:rsidRDefault="00D84041" w:rsidP="00D67074">
            <w:pPr>
              <w:rPr>
                <w:sz w:val="22"/>
                <w:szCs w:val="22"/>
              </w:rPr>
            </w:pPr>
            <w:r w:rsidRPr="00D67074">
              <w:rPr>
                <w:b/>
                <w:sz w:val="22"/>
                <w:szCs w:val="22"/>
              </w:rPr>
              <w:t>2.</w:t>
            </w:r>
            <w:r w:rsidR="00FB23B5" w:rsidRPr="00D67074">
              <w:rPr>
                <w:b/>
                <w:sz w:val="22"/>
                <w:szCs w:val="22"/>
              </w:rPr>
              <w:t>2</w:t>
            </w:r>
            <w:r w:rsidR="00D67074" w:rsidRPr="00D67074">
              <w:rPr>
                <w:b/>
                <w:sz w:val="22"/>
                <w:szCs w:val="22"/>
              </w:rPr>
              <w:t xml:space="preserve">, </w:t>
            </w:r>
            <w:r w:rsidRPr="00D67074">
              <w:rPr>
                <w:b/>
                <w:sz w:val="22"/>
                <w:szCs w:val="22"/>
              </w:rPr>
              <w:t>2.</w:t>
            </w:r>
            <w:r w:rsidR="00F52597" w:rsidRPr="00D67074">
              <w:rPr>
                <w:b/>
                <w:sz w:val="22"/>
                <w:szCs w:val="22"/>
              </w:rPr>
              <w:t>3</w:t>
            </w:r>
            <w:r w:rsidR="00D67074" w:rsidRPr="00D67074">
              <w:rPr>
                <w:b/>
                <w:sz w:val="22"/>
                <w:szCs w:val="22"/>
              </w:rPr>
              <w:t xml:space="preserve">, </w:t>
            </w:r>
            <w:r w:rsidR="00AB3A1F" w:rsidRPr="00D67074">
              <w:rPr>
                <w:b/>
                <w:sz w:val="22"/>
                <w:szCs w:val="22"/>
              </w:rPr>
              <w:t>2.5</w:t>
            </w:r>
          </w:p>
          <w:p w14:paraId="2CE611E1" w14:textId="77777777" w:rsidR="00D84041" w:rsidRPr="00D67074" w:rsidRDefault="00D84041" w:rsidP="00D67074">
            <w:pPr>
              <w:rPr>
                <w:sz w:val="22"/>
                <w:szCs w:val="22"/>
              </w:rPr>
            </w:pPr>
          </w:p>
        </w:tc>
      </w:tr>
    </w:tbl>
    <w:p w14:paraId="7DA56B00" w14:textId="77777777" w:rsidR="00D8602B" w:rsidRPr="00D67074" w:rsidRDefault="00D8602B" w:rsidP="000E4D36">
      <w:pPr>
        <w:rPr>
          <w:sz w:val="22"/>
          <w:szCs w:val="22"/>
        </w:rPr>
      </w:pPr>
    </w:p>
    <w:p w14:paraId="3301A8D4" w14:textId="77777777" w:rsidR="003A69EC" w:rsidRPr="00D67074" w:rsidRDefault="003A69EC" w:rsidP="00876671">
      <w:pPr>
        <w:rPr>
          <w:sz w:val="22"/>
          <w:szCs w:val="22"/>
        </w:rPr>
      </w:pPr>
    </w:p>
    <w:sectPr w:rsidR="003A69EC" w:rsidRPr="00D67074" w:rsidSect="00A7600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A3F3F" w14:textId="77777777" w:rsidR="00B22DE0" w:rsidRDefault="00B22DE0" w:rsidP="00B27D9C">
      <w:r>
        <w:separator/>
      </w:r>
    </w:p>
  </w:endnote>
  <w:endnote w:type="continuationSeparator" w:id="0">
    <w:p w14:paraId="29338156" w14:textId="77777777" w:rsidR="00B22DE0" w:rsidRDefault="00B22DE0" w:rsidP="00B2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8C56C" w14:textId="77777777" w:rsidR="00B22DE0" w:rsidRDefault="00B22DE0" w:rsidP="00B27D9C">
      <w:r>
        <w:separator/>
      </w:r>
    </w:p>
  </w:footnote>
  <w:footnote w:type="continuationSeparator" w:id="0">
    <w:p w14:paraId="1CE09547" w14:textId="77777777" w:rsidR="00B22DE0" w:rsidRDefault="00B22DE0" w:rsidP="00B27D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142"/>
    <w:multiLevelType w:val="hybridMultilevel"/>
    <w:tmpl w:val="95E8945E"/>
    <w:lvl w:ilvl="0" w:tplc="06D21136">
      <w:numFmt w:val="bullet"/>
      <w:lvlText w:val="-"/>
      <w:lvlJc w:val="left"/>
      <w:pPr>
        <w:ind w:left="720" w:hanging="360"/>
      </w:pPr>
      <w:rPr>
        <w:rFonts w:ascii="Helvetica" w:eastAsia="Times New Roman" w:hAnsi="Helvetic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B7133D"/>
    <w:multiLevelType w:val="hybridMultilevel"/>
    <w:tmpl w:val="6BB201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6B0EBB"/>
    <w:multiLevelType w:val="hybridMultilevel"/>
    <w:tmpl w:val="7E4E12FA"/>
    <w:lvl w:ilvl="0" w:tplc="F430908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3D5E33"/>
    <w:multiLevelType w:val="hybridMultilevel"/>
    <w:tmpl w:val="2B525A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AA653D6"/>
    <w:multiLevelType w:val="hybridMultilevel"/>
    <w:tmpl w:val="827C7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CFF705F"/>
    <w:multiLevelType w:val="hybridMultilevel"/>
    <w:tmpl w:val="BF5A8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011498B"/>
    <w:multiLevelType w:val="multilevel"/>
    <w:tmpl w:val="2BD2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F200E1"/>
    <w:multiLevelType w:val="multilevel"/>
    <w:tmpl w:val="D144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813F78"/>
    <w:multiLevelType w:val="hybridMultilevel"/>
    <w:tmpl w:val="3FA890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4E21CC3"/>
    <w:multiLevelType w:val="hybridMultilevel"/>
    <w:tmpl w:val="1FA20466"/>
    <w:lvl w:ilvl="0" w:tplc="06D21136">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D80E31"/>
    <w:multiLevelType w:val="hybridMultilevel"/>
    <w:tmpl w:val="AD1ED58A"/>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C661096"/>
    <w:multiLevelType w:val="hybridMultilevel"/>
    <w:tmpl w:val="82A8CE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0B30A20"/>
    <w:multiLevelType w:val="hybridMultilevel"/>
    <w:tmpl w:val="20CCB61A"/>
    <w:lvl w:ilvl="0" w:tplc="F430908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7822BCA"/>
    <w:multiLevelType w:val="hybridMultilevel"/>
    <w:tmpl w:val="60A05F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C541CC2"/>
    <w:multiLevelType w:val="hybridMultilevel"/>
    <w:tmpl w:val="D402F0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9D95FAA"/>
    <w:multiLevelType w:val="multilevel"/>
    <w:tmpl w:val="881A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BE0902"/>
    <w:multiLevelType w:val="multilevel"/>
    <w:tmpl w:val="708E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9"/>
  </w:num>
  <w:num w:numId="4">
    <w:abstractNumId w:val="1"/>
  </w:num>
  <w:num w:numId="5">
    <w:abstractNumId w:val="16"/>
  </w:num>
  <w:num w:numId="6">
    <w:abstractNumId w:val="5"/>
  </w:num>
  <w:num w:numId="7">
    <w:abstractNumId w:val="15"/>
  </w:num>
  <w:num w:numId="8">
    <w:abstractNumId w:val="6"/>
  </w:num>
  <w:num w:numId="9">
    <w:abstractNumId w:val="11"/>
  </w:num>
  <w:num w:numId="10">
    <w:abstractNumId w:val="10"/>
  </w:num>
  <w:num w:numId="11">
    <w:abstractNumId w:val="8"/>
  </w:num>
  <w:num w:numId="12">
    <w:abstractNumId w:val="7"/>
  </w:num>
  <w:num w:numId="13">
    <w:abstractNumId w:val="3"/>
  </w:num>
  <w:num w:numId="14">
    <w:abstractNumId w:val="4"/>
  </w:num>
  <w:num w:numId="15">
    <w:abstractNumId w:val="14"/>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02"/>
    <w:rsid w:val="00035614"/>
    <w:rsid w:val="0006064A"/>
    <w:rsid w:val="000A0900"/>
    <w:rsid w:val="000A49E4"/>
    <w:rsid w:val="000E03B2"/>
    <w:rsid w:val="000E31F4"/>
    <w:rsid w:val="000E40A0"/>
    <w:rsid w:val="000E4D36"/>
    <w:rsid w:val="000F0C53"/>
    <w:rsid w:val="000F3DBB"/>
    <w:rsid w:val="00111B44"/>
    <w:rsid w:val="00122BB8"/>
    <w:rsid w:val="00123261"/>
    <w:rsid w:val="00133BA1"/>
    <w:rsid w:val="00134AB6"/>
    <w:rsid w:val="00155025"/>
    <w:rsid w:val="001C3DEA"/>
    <w:rsid w:val="001D6FCF"/>
    <w:rsid w:val="0021638C"/>
    <w:rsid w:val="00254999"/>
    <w:rsid w:val="0025549A"/>
    <w:rsid w:val="00282D8A"/>
    <w:rsid w:val="002A555A"/>
    <w:rsid w:val="002D6022"/>
    <w:rsid w:val="002D683E"/>
    <w:rsid w:val="002E08B8"/>
    <w:rsid w:val="003438FD"/>
    <w:rsid w:val="003518D9"/>
    <w:rsid w:val="00352418"/>
    <w:rsid w:val="00356ADA"/>
    <w:rsid w:val="003A69EC"/>
    <w:rsid w:val="00420C97"/>
    <w:rsid w:val="0044522B"/>
    <w:rsid w:val="0044616F"/>
    <w:rsid w:val="004565E0"/>
    <w:rsid w:val="004662A4"/>
    <w:rsid w:val="0047522E"/>
    <w:rsid w:val="004D12CD"/>
    <w:rsid w:val="004D12F4"/>
    <w:rsid w:val="004D3B6F"/>
    <w:rsid w:val="00515B42"/>
    <w:rsid w:val="0055008F"/>
    <w:rsid w:val="005B79C9"/>
    <w:rsid w:val="005F28F2"/>
    <w:rsid w:val="005F290D"/>
    <w:rsid w:val="005F5DC4"/>
    <w:rsid w:val="006065AA"/>
    <w:rsid w:val="00617A6C"/>
    <w:rsid w:val="006278A4"/>
    <w:rsid w:val="006A179E"/>
    <w:rsid w:val="006B1293"/>
    <w:rsid w:val="006B31D4"/>
    <w:rsid w:val="006D165D"/>
    <w:rsid w:val="006E6F02"/>
    <w:rsid w:val="00705F37"/>
    <w:rsid w:val="00737FCF"/>
    <w:rsid w:val="00753EF6"/>
    <w:rsid w:val="0076516D"/>
    <w:rsid w:val="00775AE4"/>
    <w:rsid w:val="00790F28"/>
    <w:rsid w:val="00791999"/>
    <w:rsid w:val="007E1225"/>
    <w:rsid w:val="007E1ACF"/>
    <w:rsid w:val="007F001B"/>
    <w:rsid w:val="00867097"/>
    <w:rsid w:val="00876671"/>
    <w:rsid w:val="00881867"/>
    <w:rsid w:val="008D33C3"/>
    <w:rsid w:val="008F4163"/>
    <w:rsid w:val="00914529"/>
    <w:rsid w:val="0092235E"/>
    <w:rsid w:val="009264C7"/>
    <w:rsid w:val="00957701"/>
    <w:rsid w:val="009931A9"/>
    <w:rsid w:val="009E69ED"/>
    <w:rsid w:val="00A062E3"/>
    <w:rsid w:val="00A34BDF"/>
    <w:rsid w:val="00A43B4B"/>
    <w:rsid w:val="00A44E5A"/>
    <w:rsid w:val="00A76004"/>
    <w:rsid w:val="00AA67FB"/>
    <w:rsid w:val="00AB3A1F"/>
    <w:rsid w:val="00AC5D8F"/>
    <w:rsid w:val="00AD52EC"/>
    <w:rsid w:val="00B04B7D"/>
    <w:rsid w:val="00B22DE0"/>
    <w:rsid w:val="00B27D9C"/>
    <w:rsid w:val="00B60B3C"/>
    <w:rsid w:val="00B761F2"/>
    <w:rsid w:val="00BB4C29"/>
    <w:rsid w:val="00BD1D31"/>
    <w:rsid w:val="00C30DE8"/>
    <w:rsid w:val="00C37AEC"/>
    <w:rsid w:val="00C61F53"/>
    <w:rsid w:val="00C765BD"/>
    <w:rsid w:val="00C97E74"/>
    <w:rsid w:val="00CA144C"/>
    <w:rsid w:val="00CB79C2"/>
    <w:rsid w:val="00CC55D5"/>
    <w:rsid w:val="00CE6D18"/>
    <w:rsid w:val="00D05F23"/>
    <w:rsid w:val="00D12344"/>
    <w:rsid w:val="00D30F14"/>
    <w:rsid w:val="00D67074"/>
    <w:rsid w:val="00D73E82"/>
    <w:rsid w:val="00D84041"/>
    <w:rsid w:val="00D8602B"/>
    <w:rsid w:val="00DB5B86"/>
    <w:rsid w:val="00DE12E6"/>
    <w:rsid w:val="00DE4042"/>
    <w:rsid w:val="00E02FA6"/>
    <w:rsid w:val="00E4380E"/>
    <w:rsid w:val="00E54BA8"/>
    <w:rsid w:val="00E61734"/>
    <w:rsid w:val="00EC4B44"/>
    <w:rsid w:val="00EE54CE"/>
    <w:rsid w:val="00EE6E1C"/>
    <w:rsid w:val="00EE7AAE"/>
    <w:rsid w:val="00F00F99"/>
    <w:rsid w:val="00F37BD6"/>
    <w:rsid w:val="00F52597"/>
    <w:rsid w:val="00F57C6C"/>
    <w:rsid w:val="00F64E94"/>
    <w:rsid w:val="00F90F56"/>
    <w:rsid w:val="00FB1681"/>
    <w:rsid w:val="00FB23B5"/>
    <w:rsid w:val="00FB4D5E"/>
    <w:rsid w:val="00FC1515"/>
    <w:rsid w:val="00FD7DC4"/>
    <w:rsid w:val="00FE5F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1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3A69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eichen"/>
    <w:uiPriority w:val="9"/>
    <w:unhideWhenUsed/>
    <w:qFormat/>
    <w:rsid w:val="000E4D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6F02"/>
    <w:pPr>
      <w:ind w:left="720"/>
      <w:contextualSpacing/>
    </w:pPr>
  </w:style>
  <w:style w:type="table" w:styleId="Tabellenraster">
    <w:name w:val="Table Grid"/>
    <w:basedOn w:val="NormaleTabelle"/>
    <w:uiPriority w:val="39"/>
    <w:rsid w:val="006E6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2Zeichen">
    <w:name w:val="Überschrift 2 Zeichen"/>
    <w:basedOn w:val="Absatzstandardschriftart"/>
    <w:link w:val="berschrift2"/>
    <w:uiPriority w:val="9"/>
    <w:rsid w:val="000E4D3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0E4D36"/>
    <w:pPr>
      <w:spacing w:before="100" w:beforeAutospacing="1" w:after="100" w:afterAutospacing="1"/>
    </w:pPr>
    <w:rPr>
      <w:rFonts w:ascii="Times New Roman" w:eastAsia="Times New Roman" w:hAnsi="Times New Roman" w:cs="Times New Roman"/>
      <w:lang w:eastAsia="de-DE"/>
    </w:rPr>
  </w:style>
  <w:style w:type="character" w:customStyle="1" w:styleId="berschrift1Zeichen">
    <w:name w:val="Überschrift 1 Zeichen"/>
    <w:basedOn w:val="Absatzstandardschriftart"/>
    <w:link w:val="berschrift1"/>
    <w:uiPriority w:val="9"/>
    <w:rsid w:val="003A69EC"/>
    <w:rPr>
      <w:rFonts w:asciiTheme="majorHAnsi" w:eastAsiaTheme="majorEastAsia" w:hAnsiTheme="majorHAnsi" w:cstheme="majorBidi"/>
      <w:color w:val="2F5496" w:themeColor="accent1" w:themeShade="BF"/>
      <w:sz w:val="32"/>
      <w:szCs w:val="32"/>
    </w:rPr>
  </w:style>
  <w:style w:type="character" w:styleId="Link">
    <w:name w:val="Hyperlink"/>
    <w:basedOn w:val="Absatzstandardschriftart"/>
    <w:uiPriority w:val="99"/>
    <w:unhideWhenUsed/>
    <w:rsid w:val="00A44E5A"/>
    <w:rPr>
      <w:color w:val="0000FF"/>
      <w:u w:val="single"/>
    </w:rPr>
  </w:style>
  <w:style w:type="character" w:customStyle="1" w:styleId="NichtaufgelsteErwhnung1">
    <w:name w:val="Nicht aufgelöste Erwähnung1"/>
    <w:basedOn w:val="Absatzstandardschriftart"/>
    <w:uiPriority w:val="99"/>
    <w:semiHidden/>
    <w:unhideWhenUsed/>
    <w:rsid w:val="00A062E3"/>
    <w:rPr>
      <w:color w:val="605E5C"/>
      <w:shd w:val="clear" w:color="auto" w:fill="E1DFDD"/>
    </w:rPr>
  </w:style>
  <w:style w:type="paragraph" w:styleId="Kopfzeile">
    <w:name w:val="header"/>
    <w:basedOn w:val="Standard"/>
    <w:link w:val="KopfzeileZeichen"/>
    <w:uiPriority w:val="99"/>
    <w:unhideWhenUsed/>
    <w:rsid w:val="00B27D9C"/>
    <w:pPr>
      <w:tabs>
        <w:tab w:val="center" w:pos="4536"/>
        <w:tab w:val="right" w:pos="9072"/>
      </w:tabs>
    </w:pPr>
  </w:style>
  <w:style w:type="character" w:customStyle="1" w:styleId="KopfzeileZeichen">
    <w:name w:val="Kopfzeile Zeichen"/>
    <w:basedOn w:val="Absatzstandardschriftart"/>
    <w:link w:val="Kopfzeile"/>
    <w:uiPriority w:val="99"/>
    <w:rsid w:val="00B27D9C"/>
  </w:style>
  <w:style w:type="paragraph" w:styleId="Fuzeile">
    <w:name w:val="footer"/>
    <w:basedOn w:val="Standard"/>
    <w:link w:val="FuzeileZeichen"/>
    <w:uiPriority w:val="99"/>
    <w:unhideWhenUsed/>
    <w:rsid w:val="00B27D9C"/>
    <w:pPr>
      <w:tabs>
        <w:tab w:val="center" w:pos="4536"/>
        <w:tab w:val="right" w:pos="9072"/>
      </w:tabs>
    </w:pPr>
  </w:style>
  <w:style w:type="character" w:customStyle="1" w:styleId="FuzeileZeichen">
    <w:name w:val="Fußzeile Zeichen"/>
    <w:basedOn w:val="Absatzstandardschriftart"/>
    <w:link w:val="Fuzeile"/>
    <w:uiPriority w:val="99"/>
    <w:rsid w:val="00B27D9C"/>
  </w:style>
  <w:style w:type="paragraph" w:styleId="Sprechblasentext">
    <w:name w:val="Balloon Text"/>
    <w:basedOn w:val="Standard"/>
    <w:link w:val="SprechblasentextZeichen"/>
    <w:uiPriority w:val="99"/>
    <w:semiHidden/>
    <w:unhideWhenUsed/>
    <w:rsid w:val="00A43B4B"/>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A43B4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155025"/>
    <w:rPr>
      <w:sz w:val="16"/>
      <w:szCs w:val="16"/>
    </w:rPr>
  </w:style>
  <w:style w:type="paragraph" w:styleId="Kommentartext">
    <w:name w:val="annotation text"/>
    <w:basedOn w:val="Standard"/>
    <w:link w:val="KommentartextZeichen"/>
    <w:uiPriority w:val="99"/>
    <w:semiHidden/>
    <w:unhideWhenUsed/>
    <w:rsid w:val="00155025"/>
    <w:rPr>
      <w:sz w:val="20"/>
      <w:szCs w:val="20"/>
    </w:rPr>
  </w:style>
  <w:style w:type="character" w:customStyle="1" w:styleId="KommentartextZeichen">
    <w:name w:val="Kommentartext Zeichen"/>
    <w:basedOn w:val="Absatzstandardschriftart"/>
    <w:link w:val="Kommentartext"/>
    <w:uiPriority w:val="99"/>
    <w:semiHidden/>
    <w:rsid w:val="00155025"/>
    <w:rPr>
      <w:sz w:val="20"/>
      <w:szCs w:val="20"/>
    </w:rPr>
  </w:style>
  <w:style w:type="paragraph" w:styleId="Kommentarthema">
    <w:name w:val="annotation subject"/>
    <w:basedOn w:val="Kommentartext"/>
    <w:next w:val="Kommentartext"/>
    <w:link w:val="KommentarthemaZeichen"/>
    <w:uiPriority w:val="99"/>
    <w:semiHidden/>
    <w:unhideWhenUsed/>
    <w:rsid w:val="00155025"/>
    <w:rPr>
      <w:b/>
      <w:bCs/>
    </w:rPr>
  </w:style>
  <w:style w:type="character" w:customStyle="1" w:styleId="KommentarthemaZeichen">
    <w:name w:val="Kommentarthema Zeichen"/>
    <w:basedOn w:val="KommentartextZeichen"/>
    <w:link w:val="Kommentarthema"/>
    <w:uiPriority w:val="99"/>
    <w:semiHidden/>
    <w:rsid w:val="0015502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3A69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eichen"/>
    <w:uiPriority w:val="9"/>
    <w:unhideWhenUsed/>
    <w:qFormat/>
    <w:rsid w:val="000E4D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6F02"/>
    <w:pPr>
      <w:ind w:left="720"/>
      <w:contextualSpacing/>
    </w:pPr>
  </w:style>
  <w:style w:type="table" w:styleId="Tabellenraster">
    <w:name w:val="Table Grid"/>
    <w:basedOn w:val="NormaleTabelle"/>
    <w:uiPriority w:val="39"/>
    <w:rsid w:val="006E6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2Zeichen">
    <w:name w:val="Überschrift 2 Zeichen"/>
    <w:basedOn w:val="Absatzstandardschriftart"/>
    <w:link w:val="berschrift2"/>
    <w:uiPriority w:val="9"/>
    <w:rsid w:val="000E4D3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0E4D36"/>
    <w:pPr>
      <w:spacing w:before="100" w:beforeAutospacing="1" w:after="100" w:afterAutospacing="1"/>
    </w:pPr>
    <w:rPr>
      <w:rFonts w:ascii="Times New Roman" w:eastAsia="Times New Roman" w:hAnsi="Times New Roman" w:cs="Times New Roman"/>
      <w:lang w:eastAsia="de-DE"/>
    </w:rPr>
  </w:style>
  <w:style w:type="character" w:customStyle="1" w:styleId="berschrift1Zeichen">
    <w:name w:val="Überschrift 1 Zeichen"/>
    <w:basedOn w:val="Absatzstandardschriftart"/>
    <w:link w:val="berschrift1"/>
    <w:uiPriority w:val="9"/>
    <w:rsid w:val="003A69EC"/>
    <w:rPr>
      <w:rFonts w:asciiTheme="majorHAnsi" w:eastAsiaTheme="majorEastAsia" w:hAnsiTheme="majorHAnsi" w:cstheme="majorBidi"/>
      <w:color w:val="2F5496" w:themeColor="accent1" w:themeShade="BF"/>
      <w:sz w:val="32"/>
      <w:szCs w:val="32"/>
    </w:rPr>
  </w:style>
  <w:style w:type="character" w:styleId="Link">
    <w:name w:val="Hyperlink"/>
    <w:basedOn w:val="Absatzstandardschriftart"/>
    <w:uiPriority w:val="99"/>
    <w:unhideWhenUsed/>
    <w:rsid w:val="00A44E5A"/>
    <w:rPr>
      <w:color w:val="0000FF"/>
      <w:u w:val="single"/>
    </w:rPr>
  </w:style>
  <w:style w:type="character" w:customStyle="1" w:styleId="NichtaufgelsteErwhnung1">
    <w:name w:val="Nicht aufgelöste Erwähnung1"/>
    <w:basedOn w:val="Absatzstandardschriftart"/>
    <w:uiPriority w:val="99"/>
    <w:semiHidden/>
    <w:unhideWhenUsed/>
    <w:rsid w:val="00A062E3"/>
    <w:rPr>
      <w:color w:val="605E5C"/>
      <w:shd w:val="clear" w:color="auto" w:fill="E1DFDD"/>
    </w:rPr>
  </w:style>
  <w:style w:type="paragraph" w:styleId="Kopfzeile">
    <w:name w:val="header"/>
    <w:basedOn w:val="Standard"/>
    <w:link w:val="KopfzeileZeichen"/>
    <w:uiPriority w:val="99"/>
    <w:unhideWhenUsed/>
    <w:rsid w:val="00B27D9C"/>
    <w:pPr>
      <w:tabs>
        <w:tab w:val="center" w:pos="4536"/>
        <w:tab w:val="right" w:pos="9072"/>
      </w:tabs>
    </w:pPr>
  </w:style>
  <w:style w:type="character" w:customStyle="1" w:styleId="KopfzeileZeichen">
    <w:name w:val="Kopfzeile Zeichen"/>
    <w:basedOn w:val="Absatzstandardschriftart"/>
    <w:link w:val="Kopfzeile"/>
    <w:uiPriority w:val="99"/>
    <w:rsid w:val="00B27D9C"/>
  </w:style>
  <w:style w:type="paragraph" w:styleId="Fuzeile">
    <w:name w:val="footer"/>
    <w:basedOn w:val="Standard"/>
    <w:link w:val="FuzeileZeichen"/>
    <w:uiPriority w:val="99"/>
    <w:unhideWhenUsed/>
    <w:rsid w:val="00B27D9C"/>
    <w:pPr>
      <w:tabs>
        <w:tab w:val="center" w:pos="4536"/>
        <w:tab w:val="right" w:pos="9072"/>
      </w:tabs>
    </w:pPr>
  </w:style>
  <w:style w:type="character" w:customStyle="1" w:styleId="FuzeileZeichen">
    <w:name w:val="Fußzeile Zeichen"/>
    <w:basedOn w:val="Absatzstandardschriftart"/>
    <w:link w:val="Fuzeile"/>
    <w:uiPriority w:val="99"/>
    <w:rsid w:val="00B27D9C"/>
  </w:style>
  <w:style w:type="paragraph" w:styleId="Sprechblasentext">
    <w:name w:val="Balloon Text"/>
    <w:basedOn w:val="Standard"/>
    <w:link w:val="SprechblasentextZeichen"/>
    <w:uiPriority w:val="99"/>
    <w:semiHidden/>
    <w:unhideWhenUsed/>
    <w:rsid w:val="00A43B4B"/>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A43B4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155025"/>
    <w:rPr>
      <w:sz w:val="16"/>
      <w:szCs w:val="16"/>
    </w:rPr>
  </w:style>
  <w:style w:type="paragraph" w:styleId="Kommentartext">
    <w:name w:val="annotation text"/>
    <w:basedOn w:val="Standard"/>
    <w:link w:val="KommentartextZeichen"/>
    <w:uiPriority w:val="99"/>
    <w:semiHidden/>
    <w:unhideWhenUsed/>
    <w:rsid w:val="00155025"/>
    <w:rPr>
      <w:sz w:val="20"/>
      <w:szCs w:val="20"/>
    </w:rPr>
  </w:style>
  <w:style w:type="character" w:customStyle="1" w:styleId="KommentartextZeichen">
    <w:name w:val="Kommentartext Zeichen"/>
    <w:basedOn w:val="Absatzstandardschriftart"/>
    <w:link w:val="Kommentartext"/>
    <w:uiPriority w:val="99"/>
    <w:semiHidden/>
    <w:rsid w:val="00155025"/>
    <w:rPr>
      <w:sz w:val="20"/>
      <w:szCs w:val="20"/>
    </w:rPr>
  </w:style>
  <w:style w:type="paragraph" w:styleId="Kommentarthema">
    <w:name w:val="annotation subject"/>
    <w:basedOn w:val="Kommentartext"/>
    <w:next w:val="Kommentartext"/>
    <w:link w:val="KommentarthemaZeichen"/>
    <w:uiPriority w:val="99"/>
    <w:semiHidden/>
    <w:unhideWhenUsed/>
    <w:rsid w:val="00155025"/>
    <w:rPr>
      <w:b/>
      <w:bCs/>
    </w:rPr>
  </w:style>
  <w:style w:type="character" w:customStyle="1" w:styleId="KommentarthemaZeichen">
    <w:name w:val="Kommentarthema Zeichen"/>
    <w:basedOn w:val="KommentartextZeichen"/>
    <w:link w:val="Kommentarthema"/>
    <w:uiPriority w:val="99"/>
    <w:semiHidden/>
    <w:rsid w:val="00155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8991">
      <w:bodyDiv w:val="1"/>
      <w:marLeft w:val="0"/>
      <w:marRight w:val="0"/>
      <w:marTop w:val="0"/>
      <w:marBottom w:val="0"/>
      <w:divBdr>
        <w:top w:val="none" w:sz="0" w:space="0" w:color="auto"/>
        <w:left w:val="none" w:sz="0" w:space="0" w:color="auto"/>
        <w:bottom w:val="none" w:sz="0" w:space="0" w:color="auto"/>
        <w:right w:val="none" w:sz="0" w:space="0" w:color="auto"/>
      </w:divBdr>
      <w:divsChild>
        <w:div w:id="513033237">
          <w:marLeft w:val="0"/>
          <w:marRight w:val="0"/>
          <w:marTop w:val="0"/>
          <w:marBottom w:val="0"/>
          <w:divBdr>
            <w:top w:val="none" w:sz="0" w:space="0" w:color="auto"/>
            <w:left w:val="none" w:sz="0" w:space="0" w:color="auto"/>
            <w:bottom w:val="none" w:sz="0" w:space="0" w:color="auto"/>
            <w:right w:val="none" w:sz="0" w:space="0" w:color="auto"/>
          </w:divBdr>
          <w:divsChild>
            <w:div w:id="1430465900">
              <w:marLeft w:val="0"/>
              <w:marRight w:val="0"/>
              <w:marTop w:val="0"/>
              <w:marBottom w:val="0"/>
              <w:divBdr>
                <w:top w:val="none" w:sz="0" w:space="0" w:color="auto"/>
                <w:left w:val="none" w:sz="0" w:space="0" w:color="auto"/>
                <w:bottom w:val="none" w:sz="0" w:space="0" w:color="auto"/>
                <w:right w:val="none" w:sz="0" w:space="0" w:color="auto"/>
              </w:divBdr>
              <w:divsChild>
                <w:div w:id="1201360834">
                  <w:marLeft w:val="0"/>
                  <w:marRight w:val="0"/>
                  <w:marTop w:val="0"/>
                  <w:marBottom w:val="0"/>
                  <w:divBdr>
                    <w:top w:val="none" w:sz="0" w:space="0" w:color="auto"/>
                    <w:left w:val="none" w:sz="0" w:space="0" w:color="auto"/>
                    <w:bottom w:val="none" w:sz="0" w:space="0" w:color="auto"/>
                    <w:right w:val="none" w:sz="0" w:space="0" w:color="auto"/>
                  </w:divBdr>
                  <w:divsChild>
                    <w:div w:id="14646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8647">
      <w:bodyDiv w:val="1"/>
      <w:marLeft w:val="0"/>
      <w:marRight w:val="0"/>
      <w:marTop w:val="0"/>
      <w:marBottom w:val="0"/>
      <w:divBdr>
        <w:top w:val="none" w:sz="0" w:space="0" w:color="auto"/>
        <w:left w:val="none" w:sz="0" w:space="0" w:color="auto"/>
        <w:bottom w:val="none" w:sz="0" w:space="0" w:color="auto"/>
        <w:right w:val="none" w:sz="0" w:space="0" w:color="auto"/>
      </w:divBdr>
      <w:divsChild>
        <w:div w:id="357389672">
          <w:marLeft w:val="0"/>
          <w:marRight w:val="0"/>
          <w:marTop w:val="0"/>
          <w:marBottom w:val="0"/>
          <w:divBdr>
            <w:top w:val="none" w:sz="0" w:space="0" w:color="auto"/>
            <w:left w:val="none" w:sz="0" w:space="0" w:color="auto"/>
            <w:bottom w:val="none" w:sz="0" w:space="0" w:color="auto"/>
            <w:right w:val="none" w:sz="0" w:space="0" w:color="auto"/>
          </w:divBdr>
          <w:divsChild>
            <w:div w:id="1688554395">
              <w:marLeft w:val="0"/>
              <w:marRight w:val="0"/>
              <w:marTop w:val="0"/>
              <w:marBottom w:val="0"/>
              <w:divBdr>
                <w:top w:val="none" w:sz="0" w:space="0" w:color="auto"/>
                <w:left w:val="none" w:sz="0" w:space="0" w:color="auto"/>
                <w:bottom w:val="none" w:sz="0" w:space="0" w:color="auto"/>
                <w:right w:val="none" w:sz="0" w:space="0" w:color="auto"/>
              </w:divBdr>
              <w:divsChild>
                <w:div w:id="111482651">
                  <w:marLeft w:val="0"/>
                  <w:marRight w:val="0"/>
                  <w:marTop w:val="0"/>
                  <w:marBottom w:val="0"/>
                  <w:divBdr>
                    <w:top w:val="none" w:sz="0" w:space="0" w:color="auto"/>
                    <w:left w:val="none" w:sz="0" w:space="0" w:color="auto"/>
                    <w:bottom w:val="none" w:sz="0" w:space="0" w:color="auto"/>
                    <w:right w:val="none" w:sz="0" w:space="0" w:color="auto"/>
                  </w:divBdr>
                  <w:divsChild>
                    <w:div w:id="3195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31637">
      <w:bodyDiv w:val="1"/>
      <w:marLeft w:val="0"/>
      <w:marRight w:val="0"/>
      <w:marTop w:val="0"/>
      <w:marBottom w:val="0"/>
      <w:divBdr>
        <w:top w:val="none" w:sz="0" w:space="0" w:color="auto"/>
        <w:left w:val="none" w:sz="0" w:space="0" w:color="auto"/>
        <w:bottom w:val="none" w:sz="0" w:space="0" w:color="auto"/>
        <w:right w:val="none" w:sz="0" w:space="0" w:color="auto"/>
      </w:divBdr>
      <w:divsChild>
        <w:div w:id="270209983">
          <w:marLeft w:val="0"/>
          <w:marRight w:val="0"/>
          <w:marTop w:val="0"/>
          <w:marBottom w:val="0"/>
          <w:divBdr>
            <w:top w:val="none" w:sz="0" w:space="0" w:color="auto"/>
            <w:left w:val="none" w:sz="0" w:space="0" w:color="auto"/>
            <w:bottom w:val="none" w:sz="0" w:space="0" w:color="auto"/>
            <w:right w:val="none" w:sz="0" w:space="0" w:color="auto"/>
          </w:divBdr>
          <w:divsChild>
            <w:div w:id="1069575339">
              <w:marLeft w:val="0"/>
              <w:marRight w:val="0"/>
              <w:marTop w:val="0"/>
              <w:marBottom w:val="0"/>
              <w:divBdr>
                <w:top w:val="none" w:sz="0" w:space="0" w:color="auto"/>
                <w:left w:val="none" w:sz="0" w:space="0" w:color="auto"/>
                <w:bottom w:val="none" w:sz="0" w:space="0" w:color="auto"/>
                <w:right w:val="none" w:sz="0" w:space="0" w:color="auto"/>
              </w:divBdr>
              <w:divsChild>
                <w:div w:id="1947544480">
                  <w:marLeft w:val="0"/>
                  <w:marRight w:val="0"/>
                  <w:marTop w:val="0"/>
                  <w:marBottom w:val="0"/>
                  <w:divBdr>
                    <w:top w:val="none" w:sz="0" w:space="0" w:color="auto"/>
                    <w:left w:val="none" w:sz="0" w:space="0" w:color="auto"/>
                    <w:bottom w:val="none" w:sz="0" w:space="0" w:color="auto"/>
                    <w:right w:val="none" w:sz="0" w:space="0" w:color="auto"/>
                  </w:divBdr>
                  <w:divsChild>
                    <w:div w:id="18779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00870">
      <w:bodyDiv w:val="1"/>
      <w:marLeft w:val="0"/>
      <w:marRight w:val="0"/>
      <w:marTop w:val="0"/>
      <w:marBottom w:val="0"/>
      <w:divBdr>
        <w:top w:val="none" w:sz="0" w:space="0" w:color="auto"/>
        <w:left w:val="none" w:sz="0" w:space="0" w:color="auto"/>
        <w:bottom w:val="none" w:sz="0" w:space="0" w:color="auto"/>
        <w:right w:val="none" w:sz="0" w:space="0" w:color="auto"/>
      </w:divBdr>
    </w:div>
    <w:div w:id="1084567017">
      <w:bodyDiv w:val="1"/>
      <w:marLeft w:val="0"/>
      <w:marRight w:val="0"/>
      <w:marTop w:val="0"/>
      <w:marBottom w:val="0"/>
      <w:divBdr>
        <w:top w:val="none" w:sz="0" w:space="0" w:color="auto"/>
        <w:left w:val="none" w:sz="0" w:space="0" w:color="auto"/>
        <w:bottom w:val="none" w:sz="0" w:space="0" w:color="auto"/>
        <w:right w:val="none" w:sz="0" w:space="0" w:color="auto"/>
      </w:divBdr>
      <w:divsChild>
        <w:div w:id="792018686">
          <w:marLeft w:val="0"/>
          <w:marRight w:val="0"/>
          <w:marTop w:val="0"/>
          <w:marBottom w:val="0"/>
          <w:divBdr>
            <w:top w:val="none" w:sz="0" w:space="0" w:color="auto"/>
            <w:left w:val="none" w:sz="0" w:space="0" w:color="auto"/>
            <w:bottom w:val="none" w:sz="0" w:space="0" w:color="auto"/>
            <w:right w:val="none" w:sz="0" w:space="0" w:color="auto"/>
          </w:divBdr>
          <w:divsChild>
            <w:div w:id="1911648619">
              <w:marLeft w:val="0"/>
              <w:marRight w:val="0"/>
              <w:marTop w:val="0"/>
              <w:marBottom w:val="0"/>
              <w:divBdr>
                <w:top w:val="none" w:sz="0" w:space="0" w:color="auto"/>
                <w:left w:val="none" w:sz="0" w:space="0" w:color="auto"/>
                <w:bottom w:val="none" w:sz="0" w:space="0" w:color="auto"/>
                <w:right w:val="none" w:sz="0" w:space="0" w:color="auto"/>
              </w:divBdr>
              <w:divsChild>
                <w:div w:id="1882941530">
                  <w:marLeft w:val="0"/>
                  <w:marRight w:val="0"/>
                  <w:marTop w:val="0"/>
                  <w:marBottom w:val="0"/>
                  <w:divBdr>
                    <w:top w:val="none" w:sz="0" w:space="0" w:color="auto"/>
                    <w:left w:val="none" w:sz="0" w:space="0" w:color="auto"/>
                    <w:bottom w:val="none" w:sz="0" w:space="0" w:color="auto"/>
                    <w:right w:val="none" w:sz="0" w:space="0" w:color="auto"/>
                  </w:divBdr>
                  <w:divsChild>
                    <w:div w:id="3792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841861">
      <w:bodyDiv w:val="1"/>
      <w:marLeft w:val="0"/>
      <w:marRight w:val="0"/>
      <w:marTop w:val="0"/>
      <w:marBottom w:val="0"/>
      <w:divBdr>
        <w:top w:val="none" w:sz="0" w:space="0" w:color="auto"/>
        <w:left w:val="none" w:sz="0" w:space="0" w:color="auto"/>
        <w:bottom w:val="none" w:sz="0" w:space="0" w:color="auto"/>
        <w:right w:val="none" w:sz="0" w:space="0" w:color="auto"/>
      </w:divBdr>
      <w:divsChild>
        <w:div w:id="1202017121">
          <w:marLeft w:val="0"/>
          <w:marRight w:val="0"/>
          <w:marTop w:val="0"/>
          <w:marBottom w:val="0"/>
          <w:divBdr>
            <w:top w:val="none" w:sz="0" w:space="0" w:color="auto"/>
            <w:left w:val="none" w:sz="0" w:space="0" w:color="auto"/>
            <w:bottom w:val="none" w:sz="0" w:space="0" w:color="auto"/>
            <w:right w:val="none" w:sz="0" w:space="0" w:color="auto"/>
          </w:divBdr>
          <w:divsChild>
            <w:div w:id="2012247167">
              <w:marLeft w:val="0"/>
              <w:marRight w:val="0"/>
              <w:marTop w:val="0"/>
              <w:marBottom w:val="0"/>
              <w:divBdr>
                <w:top w:val="none" w:sz="0" w:space="0" w:color="auto"/>
                <w:left w:val="none" w:sz="0" w:space="0" w:color="auto"/>
                <w:bottom w:val="none" w:sz="0" w:space="0" w:color="auto"/>
                <w:right w:val="none" w:sz="0" w:space="0" w:color="auto"/>
              </w:divBdr>
              <w:divsChild>
                <w:div w:id="1197044287">
                  <w:marLeft w:val="0"/>
                  <w:marRight w:val="0"/>
                  <w:marTop w:val="0"/>
                  <w:marBottom w:val="0"/>
                  <w:divBdr>
                    <w:top w:val="none" w:sz="0" w:space="0" w:color="auto"/>
                    <w:left w:val="none" w:sz="0" w:space="0" w:color="auto"/>
                    <w:bottom w:val="none" w:sz="0" w:space="0" w:color="auto"/>
                    <w:right w:val="none" w:sz="0" w:space="0" w:color="auto"/>
                  </w:divBdr>
                  <w:divsChild>
                    <w:div w:id="729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68601">
      <w:bodyDiv w:val="1"/>
      <w:marLeft w:val="0"/>
      <w:marRight w:val="0"/>
      <w:marTop w:val="0"/>
      <w:marBottom w:val="0"/>
      <w:divBdr>
        <w:top w:val="none" w:sz="0" w:space="0" w:color="auto"/>
        <w:left w:val="none" w:sz="0" w:space="0" w:color="auto"/>
        <w:bottom w:val="none" w:sz="0" w:space="0" w:color="auto"/>
        <w:right w:val="none" w:sz="0" w:space="0" w:color="auto"/>
      </w:divBdr>
      <w:divsChild>
        <w:div w:id="956790297">
          <w:marLeft w:val="0"/>
          <w:marRight w:val="0"/>
          <w:marTop w:val="0"/>
          <w:marBottom w:val="0"/>
          <w:divBdr>
            <w:top w:val="none" w:sz="0" w:space="0" w:color="auto"/>
            <w:left w:val="none" w:sz="0" w:space="0" w:color="auto"/>
            <w:bottom w:val="none" w:sz="0" w:space="0" w:color="auto"/>
            <w:right w:val="none" w:sz="0" w:space="0" w:color="auto"/>
          </w:divBdr>
          <w:divsChild>
            <w:div w:id="1575160470">
              <w:marLeft w:val="0"/>
              <w:marRight w:val="0"/>
              <w:marTop w:val="0"/>
              <w:marBottom w:val="0"/>
              <w:divBdr>
                <w:top w:val="none" w:sz="0" w:space="0" w:color="auto"/>
                <w:left w:val="none" w:sz="0" w:space="0" w:color="auto"/>
                <w:bottom w:val="none" w:sz="0" w:space="0" w:color="auto"/>
                <w:right w:val="none" w:sz="0" w:space="0" w:color="auto"/>
              </w:divBdr>
              <w:divsChild>
                <w:div w:id="112098275">
                  <w:marLeft w:val="0"/>
                  <w:marRight w:val="0"/>
                  <w:marTop w:val="0"/>
                  <w:marBottom w:val="0"/>
                  <w:divBdr>
                    <w:top w:val="none" w:sz="0" w:space="0" w:color="auto"/>
                    <w:left w:val="none" w:sz="0" w:space="0" w:color="auto"/>
                    <w:bottom w:val="none" w:sz="0" w:space="0" w:color="auto"/>
                    <w:right w:val="none" w:sz="0" w:space="0" w:color="auto"/>
                  </w:divBdr>
                  <w:divsChild>
                    <w:div w:id="8796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34783">
      <w:bodyDiv w:val="1"/>
      <w:marLeft w:val="0"/>
      <w:marRight w:val="0"/>
      <w:marTop w:val="0"/>
      <w:marBottom w:val="0"/>
      <w:divBdr>
        <w:top w:val="none" w:sz="0" w:space="0" w:color="auto"/>
        <w:left w:val="none" w:sz="0" w:space="0" w:color="auto"/>
        <w:bottom w:val="none" w:sz="0" w:space="0" w:color="auto"/>
        <w:right w:val="none" w:sz="0" w:space="0" w:color="auto"/>
      </w:divBdr>
      <w:divsChild>
        <w:div w:id="1644387283">
          <w:marLeft w:val="0"/>
          <w:marRight w:val="0"/>
          <w:marTop w:val="0"/>
          <w:marBottom w:val="0"/>
          <w:divBdr>
            <w:top w:val="none" w:sz="0" w:space="0" w:color="auto"/>
            <w:left w:val="none" w:sz="0" w:space="0" w:color="auto"/>
            <w:bottom w:val="none" w:sz="0" w:space="0" w:color="auto"/>
            <w:right w:val="none" w:sz="0" w:space="0" w:color="auto"/>
          </w:divBdr>
          <w:divsChild>
            <w:div w:id="1524127152">
              <w:marLeft w:val="0"/>
              <w:marRight w:val="0"/>
              <w:marTop w:val="0"/>
              <w:marBottom w:val="0"/>
              <w:divBdr>
                <w:top w:val="none" w:sz="0" w:space="0" w:color="auto"/>
                <w:left w:val="none" w:sz="0" w:space="0" w:color="auto"/>
                <w:bottom w:val="none" w:sz="0" w:space="0" w:color="auto"/>
                <w:right w:val="none" w:sz="0" w:space="0" w:color="auto"/>
              </w:divBdr>
              <w:divsChild>
                <w:div w:id="1531797156">
                  <w:marLeft w:val="0"/>
                  <w:marRight w:val="0"/>
                  <w:marTop w:val="0"/>
                  <w:marBottom w:val="0"/>
                  <w:divBdr>
                    <w:top w:val="none" w:sz="0" w:space="0" w:color="auto"/>
                    <w:left w:val="none" w:sz="0" w:space="0" w:color="auto"/>
                    <w:bottom w:val="none" w:sz="0" w:space="0" w:color="auto"/>
                    <w:right w:val="none" w:sz="0" w:space="0" w:color="auto"/>
                  </w:divBdr>
                  <w:divsChild>
                    <w:div w:id="20708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43419">
      <w:bodyDiv w:val="1"/>
      <w:marLeft w:val="0"/>
      <w:marRight w:val="0"/>
      <w:marTop w:val="0"/>
      <w:marBottom w:val="0"/>
      <w:divBdr>
        <w:top w:val="none" w:sz="0" w:space="0" w:color="auto"/>
        <w:left w:val="none" w:sz="0" w:space="0" w:color="auto"/>
        <w:bottom w:val="none" w:sz="0" w:space="0" w:color="auto"/>
        <w:right w:val="none" w:sz="0" w:space="0" w:color="auto"/>
      </w:divBdr>
    </w:div>
    <w:div w:id="1550722771">
      <w:bodyDiv w:val="1"/>
      <w:marLeft w:val="0"/>
      <w:marRight w:val="0"/>
      <w:marTop w:val="0"/>
      <w:marBottom w:val="0"/>
      <w:divBdr>
        <w:top w:val="none" w:sz="0" w:space="0" w:color="auto"/>
        <w:left w:val="none" w:sz="0" w:space="0" w:color="auto"/>
        <w:bottom w:val="none" w:sz="0" w:space="0" w:color="auto"/>
        <w:right w:val="none" w:sz="0" w:space="0" w:color="auto"/>
      </w:divBdr>
    </w:div>
    <w:div w:id="1580558782">
      <w:bodyDiv w:val="1"/>
      <w:marLeft w:val="0"/>
      <w:marRight w:val="0"/>
      <w:marTop w:val="0"/>
      <w:marBottom w:val="0"/>
      <w:divBdr>
        <w:top w:val="none" w:sz="0" w:space="0" w:color="auto"/>
        <w:left w:val="none" w:sz="0" w:space="0" w:color="auto"/>
        <w:bottom w:val="none" w:sz="0" w:space="0" w:color="auto"/>
        <w:right w:val="none" w:sz="0" w:space="0" w:color="auto"/>
      </w:divBdr>
      <w:divsChild>
        <w:div w:id="2075465699">
          <w:marLeft w:val="0"/>
          <w:marRight w:val="0"/>
          <w:marTop w:val="0"/>
          <w:marBottom w:val="0"/>
          <w:divBdr>
            <w:top w:val="none" w:sz="0" w:space="0" w:color="auto"/>
            <w:left w:val="none" w:sz="0" w:space="0" w:color="auto"/>
            <w:bottom w:val="none" w:sz="0" w:space="0" w:color="auto"/>
            <w:right w:val="none" w:sz="0" w:space="0" w:color="auto"/>
          </w:divBdr>
          <w:divsChild>
            <w:div w:id="441193536">
              <w:marLeft w:val="0"/>
              <w:marRight w:val="0"/>
              <w:marTop w:val="0"/>
              <w:marBottom w:val="0"/>
              <w:divBdr>
                <w:top w:val="none" w:sz="0" w:space="0" w:color="auto"/>
                <w:left w:val="none" w:sz="0" w:space="0" w:color="auto"/>
                <w:bottom w:val="none" w:sz="0" w:space="0" w:color="auto"/>
                <w:right w:val="none" w:sz="0" w:space="0" w:color="auto"/>
              </w:divBdr>
              <w:divsChild>
                <w:div w:id="1357003200">
                  <w:marLeft w:val="0"/>
                  <w:marRight w:val="0"/>
                  <w:marTop w:val="0"/>
                  <w:marBottom w:val="0"/>
                  <w:divBdr>
                    <w:top w:val="none" w:sz="0" w:space="0" w:color="auto"/>
                    <w:left w:val="none" w:sz="0" w:space="0" w:color="auto"/>
                    <w:bottom w:val="none" w:sz="0" w:space="0" w:color="auto"/>
                    <w:right w:val="none" w:sz="0" w:space="0" w:color="auto"/>
                  </w:divBdr>
                  <w:divsChild>
                    <w:div w:id="21028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4289">
      <w:bodyDiv w:val="1"/>
      <w:marLeft w:val="0"/>
      <w:marRight w:val="0"/>
      <w:marTop w:val="0"/>
      <w:marBottom w:val="0"/>
      <w:divBdr>
        <w:top w:val="none" w:sz="0" w:space="0" w:color="auto"/>
        <w:left w:val="none" w:sz="0" w:space="0" w:color="auto"/>
        <w:bottom w:val="none" w:sz="0" w:space="0" w:color="auto"/>
        <w:right w:val="none" w:sz="0" w:space="0" w:color="auto"/>
      </w:divBdr>
      <w:divsChild>
        <w:div w:id="882137557">
          <w:marLeft w:val="0"/>
          <w:marRight w:val="0"/>
          <w:marTop w:val="0"/>
          <w:marBottom w:val="0"/>
          <w:divBdr>
            <w:top w:val="none" w:sz="0" w:space="0" w:color="auto"/>
            <w:left w:val="none" w:sz="0" w:space="0" w:color="auto"/>
            <w:bottom w:val="none" w:sz="0" w:space="0" w:color="auto"/>
            <w:right w:val="none" w:sz="0" w:space="0" w:color="auto"/>
          </w:divBdr>
          <w:divsChild>
            <w:div w:id="531771420">
              <w:marLeft w:val="0"/>
              <w:marRight w:val="0"/>
              <w:marTop w:val="0"/>
              <w:marBottom w:val="0"/>
              <w:divBdr>
                <w:top w:val="none" w:sz="0" w:space="0" w:color="auto"/>
                <w:left w:val="none" w:sz="0" w:space="0" w:color="auto"/>
                <w:bottom w:val="none" w:sz="0" w:space="0" w:color="auto"/>
                <w:right w:val="none" w:sz="0" w:space="0" w:color="auto"/>
              </w:divBdr>
              <w:divsChild>
                <w:div w:id="1985550362">
                  <w:marLeft w:val="0"/>
                  <w:marRight w:val="0"/>
                  <w:marTop w:val="0"/>
                  <w:marBottom w:val="0"/>
                  <w:divBdr>
                    <w:top w:val="none" w:sz="0" w:space="0" w:color="auto"/>
                    <w:left w:val="none" w:sz="0" w:space="0" w:color="auto"/>
                    <w:bottom w:val="none" w:sz="0" w:space="0" w:color="auto"/>
                    <w:right w:val="none" w:sz="0" w:space="0" w:color="auto"/>
                  </w:divBdr>
                  <w:divsChild>
                    <w:div w:id="2020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4901</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ATh</cp:lastModifiedBy>
  <cp:revision>5</cp:revision>
  <cp:lastPrinted>2019-02-18T16:43:00Z</cp:lastPrinted>
  <dcterms:created xsi:type="dcterms:W3CDTF">2019-07-22T11:21:00Z</dcterms:created>
  <dcterms:modified xsi:type="dcterms:W3CDTF">2019-07-25T09:56:00Z</dcterms:modified>
</cp:coreProperties>
</file>