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8A" w:rsidRDefault="003772B4" w:rsidP="0013688A">
      <w:pPr>
        <w:pStyle w:val="berschrift1"/>
        <w:rPr>
          <w:sz w:val="28"/>
          <w:lang w:eastAsia="en-US"/>
        </w:rPr>
      </w:pPr>
      <w:r>
        <w:rPr>
          <w:sz w:val="28"/>
          <w:lang w:eastAsia="en-US"/>
        </w:rPr>
        <w:t>2.</w:t>
      </w:r>
      <w:r w:rsidR="0013688A">
        <w:rPr>
          <w:sz w:val="28"/>
          <w:lang w:eastAsia="en-US"/>
        </w:rPr>
        <w:t>2</w:t>
      </w:r>
      <w:r w:rsidR="0013688A">
        <w:rPr>
          <w:sz w:val="28"/>
          <w:lang w:eastAsia="en-US"/>
        </w:rPr>
        <w:tab/>
      </w:r>
      <w:r w:rsidR="0013688A">
        <w:rPr>
          <w:sz w:val="28"/>
          <w:lang w:eastAsia="en-US"/>
        </w:rPr>
        <w:tab/>
        <w:t>Ethische Entscheidungen - Grundlagentexte zur christlichen Ethik</w:t>
      </w:r>
    </w:p>
    <w:p w:rsidR="0013688A" w:rsidRPr="0013688A" w:rsidRDefault="0013688A" w:rsidP="0013688A">
      <w:pPr>
        <w:rPr>
          <w:lang w:eastAsia="en-US"/>
        </w:rPr>
      </w:pPr>
    </w:p>
    <w:p w:rsidR="001548A3" w:rsidRDefault="001548A3" w:rsidP="0013688A">
      <w:pPr>
        <w:overflowPunct/>
        <w:ind w:left="0" w:firstLine="0"/>
        <w:jc w:val="center"/>
        <w:textAlignment w:val="auto"/>
        <w:rPr>
          <w:rFonts w:cs="Calibri"/>
          <w:b/>
          <w:sz w:val="25"/>
          <w:szCs w:val="25"/>
          <w:lang w:eastAsia="en-US"/>
        </w:rPr>
      </w:pPr>
      <w:r w:rsidRPr="0013688A">
        <w:rPr>
          <w:rFonts w:cs="Calibri"/>
          <w:b/>
          <w:sz w:val="25"/>
          <w:szCs w:val="25"/>
          <w:lang w:eastAsia="en-US"/>
        </w:rPr>
        <w:t>Schrift und Tradition – eine theologische Grundlagenbestimmung im ethischen Kontext</w:t>
      </w:r>
    </w:p>
    <w:p w:rsidR="00D47393" w:rsidRPr="0013688A" w:rsidRDefault="00D47393" w:rsidP="0013688A">
      <w:pPr>
        <w:overflowPunct/>
        <w:ind w:left="0" w:firstLine="0"/>
        <w:jc w:val="center"/>
        <w:textAlignment w:val="auto"/>
        <w:rPr>
          <w:rFonts w:cs="Calibri"/>
          <w:b/>
          <w:sz w:val="25"/>
          <w:szCs w:val="25"/>
          <w:lang w:eastAsia="en-US"/>
        </w:rPr>
      </w:pPr>
    </w:p>
    <w:p w:rsidR="00F865F1" w:rsidRDefault="00F865F1" w:rsidP="001548A3">
      <w:pPr>
        <w:overflowPunct/>
        <w:ind w:left="0" w:firstLine="0"/>
        <w:jc w:val="both"/>
        <w:textAlignment w:val="auto"/>
        <w:rPr>
          <w:rFonts w:asciiTheme="minorHAnsi" w:hAnsiTheme="minorHAnsi" w:cstheme="minorHAnsi"/>
          <w:szCs w:val="24"/>
          <w:lang w:eastAsia="en-US"/>
        </w:rPr>
        <w:sectPr w:rsidR="00F865F1" w:rsidSect="00E20519">
          <w:footerReference w:type="default" r:id="rId8"/>
          <w:pgSz w:w="11906" w:h="16838"/>
          <w:pgMar w:top="567" w:right="1417" w:bottom="1134" w:left="1417" w:header="708" w:footer="708" w:gutter="0"/>
          <w:cols w:space="708"/>
          <w:docGrid w:linePitch="360"/>
        </w:sectPr>
      </w:pPr>
    </w:p>
    <w:p w:rsidR="00D47393" w:rsidRPr="00D47393" w:rsidRDefault="001548A3" w:rsidP="001548A3">
      <w:pPr>
        <w:overflowPunct/>
        <w:ind w:left="0" w:firstLine="0"/>
        <w:jc w:val="both"/>
        <w:textAlignment w:val="auto"/>
        <w:rPr>
          <w:rFonts w:asciiTheme="minorHAnsi" w:hAnsiTheme="minorHAnsi" w:cstheme="minorHAnsi"/>
          <w:sz w:val="23"/>
          <w:szCs w:val="23"/>
          <w:lang w:eastAsia="en-US"/>
        </w:rPr>
        <w:sectPr w:rsidR="00D47393" w:rsidRPr="00D47393" w:rsidSect="00D47393">
          <w:type w:val="continuous"/>
          <w:pgSz w:w="11906" w:h="16838"/>
          <w:pgMar w:top="1418" w:right="1418" w:bottom="1134" w:left="1418" w:header="709" w:footer="709" w:gutter="0"/>
          <w:lnNumType w:countBy="5" w:restart="continuous"/>
          <w:cols w:space="708"/>
          <w:docGrid w:linePitch="360"/>
        </w:sectPr>
      </w:pPr>
      <w:r w:rsidRPr="00D47393">
        <w:rPr>
          <w:rFonts w:asciiTheme="minorHAnsi" w:hAnsiTheme="minorHAnsi" w:cstheme="minorHAnsi"/>
          <w:sz w:val="23"/>
          <w:szCs w:val="23"/>
          <w:lang w:eastAsia="en-US"/>
        </w:rPr>
        <w:t>Als letzte Norm des Glaubens ist die Heilige Schrift das Ursprungszeugnis der Wahrheit des in Jesus Christus geoffenbarten Gottes. Eine angemessene, ökumenisch konvergenzfähige</w:t>
      </w:r>
      <w:r w:rsidR="00F865F1" w:rsidRPr="00D47393">
        <w:rPr>
          <w:rFonts w:asciiTheme="minorHAnsi" w:hAnsiTheme="minorHAnsi" w:cstheme="minorHAnsi"/>
          <w:sz w:val="23"/>
          <w:szCs w:val="23"/>
          <w:lang w:eastAsia="en-US"/>
        </w:rPr>
        <w:t xml:space="preserve"> </w:t>
      </w:r>
      <w:r w:rsidRPr="00D47393">
        <w:rPr>
          <w:rFonts w:asciiTheme="minorHAnsi" w:hAnsiTheme="minorHAnsi" w:cstheme="minorHAnsi"/>
          <w:sz w:val="23"/>
          <w:szCs w:val="23"/>
          <w:lang w:eastAsia="en-US"/>
        </w:rPr>
        <w:t xml:space="preserve">Bestimmung des Verhältnisses von Schrift und Tradition bildet die Überzeugung, dass das Wort Gottes als Heilige Schrift selbst in den Überlieferungsprozess in der Glaubensgemeinschaft eingebettet ist. Die Weitergabe des Evangeliums in der apostolischen Botschaft (das meint Tradition im Singular) ist von den unterschiedlichen Entfaltungen der biblischen Botschaft in oft zeitbedingten, situativ wechselnden </w:t>
      </w:r>
      <w:proofErr w:type="gramStart"/>
      <w:r w:rsidRPr="00D47393">
        <w:rPr>
          <w:rFonts w:asciiTheme="minorHAnsi" w:hAnsiTheme="minorHAnsi" w:cstheme="minorHAnsi"/>
          <w:sz w:val="23"/>
          <w:szCs w:val="23"/>
          <w:lang w:eastAsia="en-US"/>
        </w:rPr>
        <w:t>Heraus</w:t>
      </w:r>
      <w:r w:rsidR="005348E6" w:rsidRPr="00D47393">
        <w:rPr>
          <w:rFonts w:asciiTheme="minorHAnsi" w:hAnsiTheme="minorHAnsi" w:cstheme="minorHAnsi"/>
          <w:sz w:val="23"/>
          <w:szCs w:val="23"/>
          <w:lang w:eastAsia="en-US"/>
        </w:rPr>
        <w:t>-</w:t>
      </w:r>
      <w:r w:rsidRPr="00D47393">
        <w:rPr>
          <w:rFonts w:asciiTheme="minorHAnsi" w:hAnsiTheme="minorHAnsi" w:cstheme="minorHAnsi"/>
          <w:sz w:val="23"/>
          <w:szCs w:val="23"/>
          <w:lang w:eastAsia="en-US"/>
        </w:rPr>
        <w:t>forderungen</w:t>
      </w:r>
      <w:proofErr w:type="gramEnd"/>
      <w:r w:rsidRPr="00D47393">
        <w:rPr>
          <w:rFonts w:asciiTheme="minorHAnsi" w:hAnsiTheme="minorHAnsi" w:cstheme="minorHAnsi"/>
          <w:sz w:val="23"/>
          <w:szCs w:val="23"/>
          <w:lang w:eastAsia="en-US"/>
        </w:rPr>
        <w:t xml:space="preserve"> bestimmt, in denen konfessionelle Eigenüberlieferungen (das meint Tradition im Plural) zu unterscheiden sind. Die stets erforderliche Rückbesinnung auf die Heilige Schrift (als </w:t>
      </w:r>
      <w:proofErr w:type="spellStart"/>
      <w:r w:rsidRPr="00D47393">
        <w:rPr>
          <w:rFonts w:asciiTheme="minorHAnsi" w:hAnsiTheme="minorHAnsi" w:cstheme="minorHAnsi"/>
          <w:i/>
          <w:iCs/>
          <w:sz w:val="23"/>
          <w:szCs w:val="23"/>
          <w:lang w:eastAsia="en-US"/>
        </w:rPr>
        <w:t>norma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normans</w:t>
      </w:r>
      <w:proofErr w:type="spellEnd"/>
      <w:r w:rsidRPr="00D47393">
        <w:rPr>
          <w:rFonts w:asciiTheme="minorHAnsi" w:hAnsiTheme="minorHAnsi" w:cstheme="minorHAnsi"/>
          <w:i/>
          <w:iCs/>
          <w:sz w:val="23"/>
          <w:szCs w:val="23"/>
          <w:lang w:eastAsia="en-US"/>
        </w:rPr>
        <w:t xml:space="preserve"> non </w:t>
      </w:r>
      <w:proofErr w:type="spellStart"/>
      <w:r w:rsidRPr="00D47393">
        <w:rPr>
          <w:rFonts w:asciiTheme="minorHAnsi" w:hAnsiTheme="minorHAnsi" w:cstheme="minorHAnsi"/>
          <w:i/>
          <w:iCs/>
          <w:sz w:val="23"/>
          <w:szCs w:val="23"/>
          <w:lang w:eastAsia="en-US"/>
        </w:rPr>
        <w:t>normata</w:t>
      </w:r>
      <w:proofErr w:type="spellEnd"/>
      <w:r w:rsidRPr="00D47393">
        <w:rPr>
          <w:rFonts w:asciiTheme="minorHAnsi" w:hAnsiTheme="minorHAnsi" w:cstheme="minorHAnsi"/>
          <w:sz w:val="23"/>
          <w:szCs w:val="23"/>
          <w:lang w:eastAsia="en-US"/>
        </w:rPr>
        <w:t xml:space="preserve">) als Quelle aller heilsnotwendigen Wahrheit des Evangeliums und alleiniger Maßstab der Verkündigung der Kirche hebt aus katholischer Sicht die Bedeutung des Einbezugs der Tradition (als </w:t>
      </w:r>
      <w:proofErr w:type="spellStart"/>
      <w:r w:rsidRPr="00D47393">
        <w:rPr>
          <w:rFonts w:asciiTheme="minorHAnsi" w:hAnsiTheme="minorHAnsi" w:cstheme="minorHAnsi"/>
          <w:i/>
          <w:iCs/>
          <w:sz w:val="23"/>
          <w:szCs w:val="23"/>
          <w:lang w:eastAsia="en-US"/>
        </w:rPr>
        <w:t>norma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normans</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normata</w:t>
      </w:r>
      <w:proofErr w:type="spellEnd"/>
      <w:r w:rsidRPr="00D47393">
        <w:rPr>
          <w:rFonts w:asciiTheme="minorHAnsi" w:hAnsiTheme="minorHAnsi" w:cstheme="minorHAnsi"/>
          <w:sz w:val="23"/>
          <w:szCs w:val="23"/>
          <w:lang w:eastAsia="en-US"/>
        </w:rPr>
        <w:t>) bei der theologischen Urteilsbildung nicht auf. Pointiert lehrt das Zweite Vatikanische Konzil, dass die „Kirche ihre Gewissheit […] nicht aus der Heiligen Schrift allein […] schöpft“. Inhaltlich (</w:t>
      </w:r>
      <w:proofErr w:type="spellStart"/>
      <w:r w:rsidRPr="00D47393">
        <w:rPr>
          <w:rFonts w:asciiTheme="minorHAnsi" w:hAnsiTheme="minorHAnsi" w:cstheme="minorHAnsi"/>
          <w:i/>
          <w:iCs/>
          <w:sz w:val="23"/>
          <w:szCs w:val="23"/>
          <w:lang w:eastAsia="en-US"/>
        </w:rPr>
        <w:t>materialiter</w:t>
      </w:r>
      <w:proofErr w:type="spellEnd"/>
      <w:r w:rsidRPr="00D47393">
        <w:rPr>
          <w:rFonts w:asciiTheme="minorHAnsi" w:hAnsiTheme="minorHAnsi" w:cstheme="minorHAnsi"/>
          <w:sz w:val="23"/>
          <w:szCs w:val="23"/>
          <w:lang w:eastAsia="en-US"/>
        </w:rPr>
        <w:t>) bleibt die Schrift als alleinige Erkenntnisquelle ausreichend, sofern es um die Heilswahrheit geht; methodisch</w:t>
      </w:r>
      <w:r w:rsidR="00F865F1" w:rsidRPr="00D47393">
        <w:rPr>
          <w:rFonts w:asciiTheme="minorHAnsi" w:hAnsiTheme="minorHAnsi" w:cstheme="minorHAnsi"/>
          <w:sz w:val="23"/>
          <w:szCs w:val="23"/>
          <w:lang w:eastAsia="en-US"/>
        </w:rPr>
        <w:t xml:space="preserve"> </w:t>
      </w:r>
      <w:r w:rsidRPr="00D47393">
        <w:rPr>
          <w:rFonts w:asciiTheme="minorHAnsi" w:hAnsiTheme="minorHAnsi" w:cstheme="minorHAnsi"/>
          <w:sz w:val="23"/>
          <w:szCs w:val="23"/>
          <w:lang w:eastAsia="en-US"/>
        </w:rPr>
        <w:t>(</w:t>
      </w:r>
      <w:r w:rsidRPr="00D47393">
        <w:rPr>
          <w:rFonts w:asciiTheme="minorHAnsi" w:hAnsiTheme="minorHAnsi" w:cstheme="minorHAnsi"/>
          <w:i/>
          <w:iCs/>
          <w:sz w:val="23"/>
          <w:szCs w:val="23"/>
          <w:lang w:eastAsia="en-US"/>
        </w:rPr>
        <w:t>formaliter</w:t>
      </w:r>
      <w:r w:rsidRPr="00D47393">
        <w:rPr>
          <w:rFonts w:asciiTheme="minorHAnsi" w:hAnsiTheme="minorHAnsi" w:cstheme="minorHAnsi"/>
          <w:sz w:val="23"/>
          <w:szCs w:val="23"/>
          <w:lang w:eastAsia="en-US"/>
        </w:rPr>
        <w:t>) ist die Achtung der Traditionszeugnisse im kommunikativen kirchlichen Austausch ein Weg der beständigen Selbstvergewisserung. Die Heilige Schrift bedarf der Auslegung</w:t>
      </w:r>
      <w:r w:rsidR="00F865F1" w:rsidRPr="00D47393">
        <w:rPr>
          <w:rFonts w:asciiTheme="minorHAnsi" w:hAnsiTheme="minorHAnsi" w:cstheme="minorHAnsi"/>
          <w:sz w:val="23"/>
          <w:szCs w:val="23"/>
          <w:lang w:eastAsia="en-US"/>
        </w:rPr>
        <w:t xml:space="preserve"> </w:t>
      </w:r>
      <w:r w:rsidRPr="00D47393">
        <w:rPr>
          <w:rFonts w:asciiTheme="minorHAnsi" w:hAnsiTheme="minorHAnsi" w:cstheme="minorHAnsi"/>
          <w:sz w:val="23"/>
          <w:szCs w:val="23"/>
          <w:lang w:eastAsia="en-US"/>
        </w:rPr>
        <w:t>im Lebensvollzug der Kirche. Das Zweite Vatikanische Konzil hält dabei ausdrücklich fest, dass das „Lehramt […] nicht über dem Wort Gottes ist, sondern […] ihm [dient], indem es nichts lehrt, als was überliefert ist, weil es das Wort Gottes aus göttlichem Auftrag und mit dem Beispiel des Heiligen Geistes voll Ehrfurcht hört, heilig bewahrt und treu auslegt und weil es alles, was es als von Gott geoffenbart zu glauben vorlegt, aus diesem einen Schatz des Glaubens schöpft.“ Die Tradition bildet keinen inhaltlichen Zusatz zur Heiligen Schrift, sie ist aber unverzichtbar zum Verstehen der Heiligen Schrift. Eine ausdrückliche kritische Funktion der Heiligen Schrift gegenüber der Tradition hat die Offenbarungskonstitution „</w:t>
      </w:r>
      <w:proofErr w:type="spellStart"/>
      <w:r w:rsidRPr="00D47393">
        <w:rPr>
          <w:rFonts w:asciiTheme="minorHAnsi" w:hAnsiTheme="minorHAnsi" w:cstheme="minorHAnsi"/>
          <w:sz w:val="23"/>
          <w:szCs w:val="23"/>
          <w:lang w:eastAsia="en-US"/>
        </w:rPr>
        <w:t>Dei</w:t>
      </w:r>
      <w:proofErr w:type="spellEnd"/>
      <w:r w:rsidRPr="00D47393">
        <w:rPr>
          <w:rFonts w:asciiTheme="minorHAnsi" w:hAnsiTheme="minorHAnsi" w:cstheme="minorHAnsi"/>
          <w:sz w:val="23"/>
          <w:szCs w:val="23"/>
          <w:lang w:eastAsia="en-US"/>
        </w:rPr>
        <w:t xml:space="preserve"> </w:t>
      </w:r>
      <w:proofErr w:type="spellStart"/>
      <w:r w:rsidRPr="00D47393">
        <w:rPr>
          <w:rFonts w:asciiTheme="minorHAnsi" w:hAnsiTheme="minorHAnsi" w:cstheme="minorHAnsi"/>
          <w:sz w:val="23"/>
          <w:szCs w:val="23"/>
          <w:lang w:eastAsia="en-US"/>
        </w:rPr>
        <w:t>verbum</w:t>
      </w:r>
      <w:proofErr w:type="spellEnd"/>
      <w:r w:rsidRPr="00D47393">
        <w:rPr>
          <w:rFonts w:asciiTheme="minorHAnsi" w:hAnsiTheme="minorHAnsi" w:cstheme="minorHAnsi"/>
          <w:sz w:val="23"/>
          <w:szCs w:val="23"/>
          <w:lang w:eastAsia="en-US"/>
        </w:rPr>
        <w:t xml:space="preserve">“ nicht vorgesehen. Wenn aus evangelisch-lutherischer Sicht das </w:t>
      </w:r>
      <w:proofErr w:type="spellStart"/>
      <w:r w:rsidRPr="00D47393">
        <w:rPr>
          <w:rFonts w:asciiTheme="minorHAnsi" w:hAnsiTheme="minorHAnsi" w:cstheme="minorHAnsi"/>
          <w:i/>
          <w:iCs/>
          <w:sz w:val="23"/>
          <w:szCs w:val="23"/>
          <w:lang w:eastAsia="en-US"/>
        </w:rPr>
        <w:t>sola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scriptura</w:t>
      </w:r>
      <w:proofErr w:type="spellEnd"/>
      <w:r w:rsidRPr="00D47393">
        <w:rPr>
          <w:rFonts w:asciiTheme="minorHAnsi" w:hAnsiTheme="minorHAnsi" w:cstheme="minorHAnsi"/>
          <w:i/>
          <w:iCs/>
          <w:sz w:val="23"/>
          <w:szCs w:val="23"/>
          <w:lang w:eastAsia="en-US"/>
        </w:rPr>
        <w:t xml:space="preserve"> </w:t>
      </w:r>
      <w:r w:rsidRPr="00D47393">
        <w:rPr>
          <w:rFonts w:asciiTheme="minorHAnsi" w:hAnsiTheme="minorHAnsi" w:cstheme="minorHAnsi"/>
          <w:sz w:val="23"/>
          <w:szCs w:val="23"/>
          <w:lang w:eastAsia="en-US"/>
        </w:rPr>
        <w:t xml:space="preserve">betont wird, geht es gerade um die traditionskritische und in diesem Sinn genuin reformatorische Funktion der Heiligen Schrift. Es soll aber mit dem </w:t>
      </w:r>
      <w:proofErr w:type="spellStart"/>
      <w:r w:rsidRPr="00D47393">
        <w:rPr>
          <w:rFonts w:asciiTheme="minorHAnsi" w:hAnsiTheme="minorHAnsi" w:cstheme="minorHAnsi"/>
          <w:i/>
          <w:iCs/>
          <w:sz w:val="23"/>
          <w:szCs w:val="23"/>
          <w:lang w:eastAsia="en-US"/>
        </w:rPr>
        <w:t>sola</w:t>
      </w:r>
      <w:proofErr w:type="spellEnd"/>
      <w:r w:rsidRPr="00D47393">
        <w:rPr>
          <w:rFonts w:asciiTheme="minorHAnsi" w:hAnsiTheme="minorHAnsi" w:cstheme="minorHAnsi"/>
          <w:i/>
          <w:iCs/>
          <w:sz w:val="23"/>
          <w:szCs w:val="23"/>
          <w:lang w:eastAsia="en-US"/>
        </w:rPr>
        <w:t xml:space="preserve"> </w:t>
      </w:r>
      <w:r w:rsidRPr="00D47393">
        <w:rPr>
          <w:rFonts w:asciiTheme="minorHAnsi" w:hAnsiTheme="minorHAnsi" w:cstheme="minorHAnsi"/>
          <w:sz w:val="23"/>
          <w:szCs w:val="23"/>
          <w:lang w:eastAsia="en-US"/>
        </w:rPr>
        <w:t xml:space="preserve">nicht ignoriert werden, dass die Schrift selbst in einem Traditionsprozess entstanden ist und durch Traditionen in der Kirche überliefert und bewahrt wird. Auch muss die Schrift ausgelegt werden; so entstehen Traditionen. Auch die evangelische Exegese weiß aber um das Vorverständnis, das sie bei der Auslegung der Texte mitbringt und das in einem </w:t>
      </w:r>
      <w:proofErr w:type="spellStart"/>
      <w:r w:rsidRPr="00D47393">
        <w:rPr>
          <w:rFonts w:asciiTheme="minorHAnsi" w:hAnsiTheme="minorHAnsi" w:cstheme="minorHAnsi"/>
          <w:sz w:val="23"/>
          <w:szCs w:val="23"/>
          <w:lang w:eastAsia="en-US"/>
        </w:rPr>
        <w:t>unabschließbaren</w:t>
      </w:r>
      <w:proofErr w:type="spellEnd"/>
      <w:r w:rsidRPr="00D47393">
        <w:rPr>
          <w:rFonts w:asciiTheme="minorHAnsi" w:hAnsiTheme="minorHAnsi" w:cstheme="minorHAnsi"/>
          <w:sz w:val="23"/>
          <w:szCs w:val="23"/>
          <w:lang w:eastAsia="en-US"/>
        </w:rPr>
        <w:t xml:space="preserve"> h</w:t>
      </w:r>
      <w:r w:rsidR="0094749B">
        <w:rPr>
          <w:rFonts w:asciiTheme="minorHAnsi" w:hAnsiTheme="minorHAnsi" w:cstheme="minorHAnsi"/>
          <w:sz w:val="23"/>
          <w:szCs w:val="23"/>
          <w:lang w:eastAsia="en-US"/>
        </w:rPr>
        <w:t>ermeneutischen Prozess bewusst</w:t>
      </w:r>
      <w:r w:rsidRPr="00D47393">
        <w:rPr>
          <w:rFonts w:asciiTheme="minorHAnsi" w:hAnsiTheme="minorHAnsi" w:cstheme="minorHAnsi"/>
          <w:sz w:val="23"/>
          <w:szCs w:val="23"/>
          <w:lang w:eastAsia="en-US"/>
        </w:rPr>
        <w:t xml:space="preserve">gemacht werden muss. Das </w:t>
      </w:r>
      <w:proofErr w:type="spellStart"/>
      <w:r w:rsidRPr="00D47393">
        <w:rPr>
          <w:rFonts w:asciiTheme="minorHAnsi" w:hAnsiTheme="minorHAnsi" w:cstheme="minorHAnsi"/>
          <w:i/>
          <w:iCs/>
          <w:sz w:val="23"/>
          <w:szCs w:val="23"/>
          <w:lang w:eastAsia="en-US"/>
        </w:rPr>
        <w:t>sola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scriptura</w:t>
      </w:r>
      <w:proofErr w:type="spellEnd"/>
      <w:r w:rsidRPr="00D47393">
        <w:rPr>
          <w:rFonts w:asciiTheme="minorHAnsi" w:hAnsiTheme="minorHAnsi" w:cstheme="minorHAnsi"/>
          <w:i/>
          <w:iCs/>
          <w:sz w:val="23"/>
          <w:szCs w:val="23"/>
          <w:lang w:eastAsia="en-US"/>
        </w:rPr>
        <w:t xml:space="preserve"> </w:t>
      </w:r>
      <w:r w:rsidRPr="00D47393">
        <w:rPr>
          <w:rFonts w:asciiTheme="minorHAnsi" w:hAnsiTheme="minorHAnsi" w:cstheme="minorHAnsi"/>
          <w:sz w:val="23"/>
          <w:szCs w:val="23"/>
          <w:lang w:eastAsia="en-US"/>
        </w:rPr>
        <w:t xml:space="preserve">betont die besondere Funktion der Schrift als </w:t>
      </w:r>
      <w:proofErr w:type="spellStart"/>
      <w:r w:rsidRPr="00D47393">
        <w:rPr>
          <w:rFonts w:asciiTheme="minorHAnsi" w:hAnsiTheme="minorHAnsi" w:cstheme="minorHAnsi"/>
          <w:i/>
          <w:iCs/>
          <w:sz w:val="23"/>
          <w:szCs w:val="23"/>
          <w:lang w:eastAsia="en-US"/>
        </w:rPr>
        <w:t>norma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normans</w:t>
      </w:r>
      <w:proofErr w:type="spellEnd"/>
      <w:r w:rsidRPr="00D47393">
        <w:rPr>
          <w:rFonts w:asciiTheme="minorHAnsi" w:hAnsiTheme="minorHAnsi" w:cstheme="minorHAnsi"/>
          <w:i/>
          <w:iCs/>
          <w:sz w:val="23"/>
          <w:szCs w:val="23"/>
          <w:lang w:eastAsia="en-US"/>
        </w:rPr>
        <w:t xml:space="preserve"> non </w:t>
      </w:r>
      <w:proofErr w:type="spellStart"/>
      <w:r w:rsidRPr="00D47393">
        <w:rPr>
          <w:rFonts w:asciiTheme="minorHAnsi" w:hAnsiTheme="minorHAnsi" w:cstheme="minorHAnsi"/>
          <w:i/>
          <w:iCs/>
          <w:sz w:val="23"/>
          <w:szCs w:val="23"/>
          <w:lang w:eastAsia="en-US"/>
        </w:rPr>
        <w:t>normata</w:t>
      </w:r>
      <w:proofErr w:type="spellEnd"/>
      <w:r w:rsidRPr="00D47393">
        <w:rPr>
          <w:rFonts w:asciiTheme="minorHAnsi" w:hAnsiTheme="minorHAnsi" w:cstheme="minorHAnsi"/>
          <w:sz w:val="23"/>
          <w:szCs w:val="23"/>
          <w:lang w:eastAsia="en-US"/>
        </w:rPr>
        <w:t xml:space="preserve">; demgegenüber sind die kirchlichen Bekenntnisse </w:t>
      </w:r>
      <w:proofErr w:type="spellStart"/>
      <w:r w:rsidRPr="00D47393">
        <w:rPr>
          <w:rFonts w:asciiTheme="minorHAnsi" w:hAnsiTheme="minorHAnsi" w:cstheme="minorHAnsi"/>
          <w:i/>
          <w:iCs/>
          <w:sz w:val="23"/>
          <w:szCs w:val="23"/>
          <w:lang w:eastAsia="en-US"/>
        </w:rPr>
        <w:t>norma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normans</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normata</w:t>
      </w:r>
      <w:proofErr w:type="spellEnd"/>
      <w:r w:rsidRPr="00D47393">
        <w:rPr>
          <w:rFonts w:asciiTheme="minorHAnsi" w:hAnsiTheme="minorHAnsi" w:cstheme="minorHAnsi"/>
          <w:sz w:val="23"/>
          <w:szCs w:val="23"/>
          <w:lang w:eastAsia="en-US"/>
        </w:rPr>
        <w:t xml:space="preserve">. Das </w:t>
      </w:r>
      <w:proofErr w:type="spellStart"/>
      <w:r w:rsidRPr="00D47393">
        <w:rPr>
          <w:rFonts w:asciiTheme="minorHAnsi" w:hAnsiTheme="minorHAnsi" w:cstheme="minorHAnsi"/>
          <w:i/>
          <w:iCs/>
          <w:sz w:val="23"/>
          <w:szCs w:val="23"/>
          <w:lang w:eastAsia="en-US"/>
        </w:rPr>
        <w:t>sola</w:t>
      </w:r>
      <w:proofErr w:type="spellEnd"/>
      <w:r w:rsidRPr="00D47393">
        <w:rPr>
          <w:rFonts w:asciiTheme="minorHAnsi" w:hAnsiTheme="minorHAnsi" w:cstheme="minorHAnsi"/>
          <w:i/>
          <w:iCs/>
          <w:sz w:val="23"/>
          <w:szCs w:val="23"/>
          <w:lang w:eastAsia="en-US"/>
        </w:rPr>
        <w:t xml:space="preserve"> </w:t>
      </w:r>
      <w:proofErr w:type="spellStart"/>
      <w:r w:rsidRPr="00D47393">
        <w:rPr>
          <w:rFonts w:asciiTheme="minorHAnsi" w:hAnsiTheme="minorHAnsi" w:cstheme="minorHAnsi"/>
          <w:i/>
          <w:iCs/>
          <w:sz w:val="23"/>
          <w:szCs w:val="23"/>
          <w:lang w:eastAsia="en-US"/>
        </w:rPr>
        <w:t>scriptura</w:t>
      </w:r>
      <w:proofErr w:type="spellEnd"/>
      <w:r w:rsidR="0094749B">
        <w:rPr>
          <w:rFonts w:asciiTheme="minorHAnsi" w:hAnsiTheme="minorHAnsi" w:cstheme="minorHAnsi"/>
          <w:i/>
          <w:iCs/>
          <w:sz w:val="23"/>
          <w:szCs w:val="23"/>
          <w:lang w:eastAsia="en-US"/>
        </w:rPr>
        <w:t xml:space="preserve"> </w:t>
      </w:r>
      <w:r w:rsidRPr="00D47393">
        <w:rPr>
          <w:rFonts w:asciiTheme="minorHAnsi" w:hAnsiTheme="minorHAnsi" w:cstheme="minorHAnsi"/>
          <w:sz w:val="23"/>
          <w:szCs w:val="23"/>
          <w:lang w:eastAsia="en-US"/>
        </w:rPr>
        <w:t>stellt die Schrift insofern als kritische Instanz der Kirche gegenüber, als alle Verkündigung der Kirche an ihrer Übereinstimmung mit der Schrift gemessen werden muss. Die Heilige Schrift ist das Kriterium für kirchliche Lehre und christliches Leben. Diese grundsätzliche Verhältnisbestimmung von Schrift und Tradition hat Auswirkungen auf das Verhältnis von Glauben und Handeln. Die biblischen Schriften sind in einer Zeit entstanden, in denen viele Fragen, die heute einer ethischen Beurteilung bedürfen,</w:t>
      </w:r>
      <w:r w:rsidR="00F865F1" w:rsidRPr="00D47393">
        <w:rPr>
          <w:rFonts w:asciiTheme="minorHAnsi" w:hAnsiTheme="minorHAnsi" w:cstheme="minorHAnsi"/>
          <w:sz w:val="23"/>
          <w:szCs w:val="23"/>
          <w:lang w:eastAsia="en-US"/>
        </w:rPr>
        <w:t xml:space="preserve"> </w:t>
      </w:r>
      <w:r w:rsidRPr="00D47393">
        <w:rPr>
          <w:rFonts w:asciiTheme="minorHAnsi" w:hAnsiTheme="minorHAnsi" w:cstheme="minorHAnsi"/>
          <w:sz w:val="23"/>
          <w:szCs w:val="23"/>
          <w:lang w:eastAsia="en-US"/>
        </w:rPr>
        <w:t xml:space="preserve">sich noch nicht stellten. Dies trifft insbesondere auf den gesamten Bereich der durch Fortschritte der Medizin und Technik bestimmten Handlungen des Menschen zu. Bei anderen Themenkreisen – wie Ehe, Familie und anderen Fragen des individuellen Lebens – sind zwischen den biblischen Zeiten und heute Veränderungen auf der Ebene humanwissenschaftlicher und psychologischer Erkenntnisse zu berücksichtigen, die sich bei der ethischen Urteilsbildung auswirken. Hier bedarf es der grundlegenden hermeneutischen Überlegung, in welcher Weise die biblischen Weisungen angesichts ihrer geschichtlichen </w:t>
      </w:r>
      <w:proofErr w:type="spellStart"/>
      <w:r w:rsidRPr="00D47393">
        <w:rPr>
          <w:rFonts w:asciiTheme="minorHAnsi" w:hAnsiTheme="minorHAnsi" w:cstheme="minorHAnsi"/>
          <w:sz w:val="23"/>
          <w:szCs w:val="23"/>
          <w:lang w:eastAsia="en-US"/>
        </w:rPr>
        <w:t>Kontextualität</w:t>
      </w:r>
      <w:proofErr w:type="spellEnd"/>
      <w:r w:rsidRPr="00D47393">
        <w:rPr>
          <w:rFonts w:asciiTheme="minorHAnsi" w:hAnsiTheme="minorHAnsi" w:cstheme="minorHAnsi"/>
          <w:sz w:val="23"/>
          <w:szCs w:val="23"/>
          <w:lang w:eastAsia="en-US"/>
        </w:rPr>
        <w:t xml:space="preserve"> und angesichts neuer Entwicklungen heute zu verstehen und aufzunehmen sind. Eine solche Hermeneutik der Aktualisierung kann im Ansatz nicht fraglich sein, weil die Bibel in allen Bereichen des Glaubens und der Moral immer auf eine aktualisierende Auslegung angewiesen ist. Allerdings gibt es </w:t>
      </w:r>
      <w:r w:rsidRPr="00D47393">
        <w:rPr>
          <w:rFonts w:asciiTheme="minorHAnsi" w:hAnsiTheme="minorHAnsi" w:cstheme="minorHAnsi"/>
          <w:sz w:val="23"/>
          <w:szCs w:val="23"/>
          <w:lang w:eastAsia="en-US"/>
        </w:rPr>
        <w:lastRenderedPageBreak/>
        <w:t>Differenzen über die Kriterien und die Ergebnisse dieser Aktualisierung. Teils bestehen sie zwischen den Konfessionen, nicht selten aber auch innerhalb der Konfessionen. Die Konsequenz kann nur in einer vertieft</w:t>
      </w:r>
      <w:r w:rsidR="0013688A" w:rsidRPr="00D47393">
        <w:rPr>
          <w:rFonts w:asciiTheme="minorHAnsi" w:hAnsiTheme="minorHAnsi" w:cstheme="minorHAnsi"/>
          <w:sz w:val="23"/>
          <w:szCs w:val="23"/>
          <w:lang w:eastAsia="en-US"/>
        </w:rPr>
        <w:t>en Schrifthermeneutik bestehen.</w:t>
      </w:r>
    </w:p>
    <w:p w:rsidR="00E20519" w:rsidRPr="0013688A" w:rsidRDefault="00E20519" w:rsidP="001548A3">
      <w:pPr>
        <w:overflowPunct/>
        <w:ind w:left="0" w:firstLine="0"/>
        <w:jc w:val="both"/>
        <w:textAlignment w:val="auto"/>
        <w:rPr>
          <w:rFonts w:asciiTheme="minorHAnsi" w:hAnsiTheme="minorHAnsi" w:cstheme="minorHAnsi"/>
          <w:szCs w:val="24"/>
          <w:lang w:eastAsia="en-US"/>
        </w:rPr>
        <w:sectPr w:rsidR="00E20519" w:rsidRPr="0013688A" w:rsidSect="00F865F1">
          <w:type w:val="continuous"/>
          <w:pgSz w:w="11906" w:h="16838"/>
          <w:pgMar w:top="1418" w:right="1418" w:bottom="1134" w:left="1418" w:header="709" w:footer="709" w:gutter="0"/>
          <w:lnNumType w:countBy="5"/>
          <w:cols w:space="708"/>
          <w:docGrid w:linePitch="360"/>
        </w:sectPr>
      </w:pPr>
    </w:p>
    <w:p w:rsidR="00F865F1" w:rsidRDefault="00F865F1" w:rsidP="00E20519">
      <w:pPr>
        <w:suppressLineNumbers/>
        <w:ind w:left="0" w:firstLine="0"/>
        <w:jc w:val="both"/>
        <w:rPr>
          <w:sz w:val="20"/>
        </w:rPr>
      </w:pPr>
      <w:r w:rsidRPr="00F865F1">
        <w:rPr>
          <w:i/>
          <w:sz w:val="20"/>
        </w:rPr>
        <w:t>Quelle:</w:t>
      </w:r>
      <w:r>
        <w:rPr>
          <w:i/>
          <w:sz w:val="20"/>
        </w:rPr>
        <w:t xml:space="preserve"> </w:t>
      </w:r>
      <w:r w:rsidRPr="00F865F1">
        <w:rPr>
          <w:sz w:val="20"/>
        </w:rPr>
        <w:t xml:space="preserve"> Bilaterale Arbeitsgruppe der Deutschen Bischofskonferenz u. der Vereinigten Evangelisch-Lutherischen Kirche Deutschlands, Gott und die Würde des</w:t>
      </w:r>
      <w:r w:rsidR="001C0EE3">
        <w:rPr>
          <w:sz w:val="20"/>
        </w:rPr>
        <w:t xml:space="preserve"> Menschen, Paderborn 2017, S. 49-52</w:t>
      </w:r>
    </w:p>
    <w:p w:rsidR="006F08C6" w:rsidRPr="006F08C6" w:rsidRDefault="006F08C6" w:rsidP="006F08C6">
      <w:pPr>
        <w:suppressLineNumbers/>
        <w:ind w:left="0" w:firstLine="0"/>
        <w:rPr>
          <w:sz w:val="20"/>
        </w:rPr>
      </w:pPr>
      <w:r w:rsidRPr="006F08C6">
        <w:rPr>
          <w:sz w:val="20"/>
        </w:rPr>
        <w:t xml:space="preserve">© </w:t>
      </w:r>
      <w:r w:rsidR="00F67178">
        <w:rPr>
          <w:sz w:val="20"/>
        </w:rPr>
        <w:t xml:space="preserve">2017 </w:t>
      </w:r>
      <w:bookmarkStart w:id="0" w:name="_GoBack"/>
      <w:bookmarkEnd w:id="0"/>
      <w:r w:rsidRPr="006F08C6">
        <w:rPr>
          <w:sz w:val="20"/>
        </w:rPr>
        <w:t>by Bonifatius GmbH, Paderborn und Evangelische Verlagsanstalt GmbH, Leipzig</w:t>
      </w:r>
    </w:p>
    <w:p w:rsidR="00631168" w:rsidRDefault="00631168" w:rsidP="005348E6">
      <w:pPr>
        <w:suppressLineNumbers/>
        <w:ind w:left="0" w:firstLine="0"/>
        <w:jc w:val="both"/>
        <w:rPr>
          <w:sz w:val="24"/>
          <w:u w:val="single"/>
        </w:rPr>
      </w:pPr>
    </w:p>
    <w:p w:rsidR="00631168" w:rsidRDefault="00631168" w:rsidP="005348E6">
      <w:pPr>
        <w:suppressLineNumbers/>
        <w:ind w:left="0" w:firstLine="0"/>
        <w:jc w:val="both"/>
        <w:rPr>
          <w:sz w:val="24"/>
          <w:u w:val="single"/>
        </w:rPr>
      </w:pPr>
    </w:p>
    <w:p w:rsidR="005348E6" w:rsidRDefault="00E63AF2" w:rsidP="005348E6">
      <w:pPr>
        <w:suppressLineNumbers/>
        <w:ind w:left="0" w:firstLine="0"/>
        <w:jc w:val="both"/>
        <w:rPr>
          <w:sz w:val="24"/>
          <w:u w:val="single"/>
        </w:rPr>
      </w:pPr>
      <w:r>
        <w:rPr>
          <w:sz w:val="24"/>
          <w:u w:val="single"/>
        </w:rPr>
        <w:t>Arb</w:t>
      </w:r>
      <w:r w:rsidR="00EE4FAE">
        <w:rPr>
          <w:sz w:val="24"/>
          <w:u w:val="single"/>
        </w:rPr>
        <w:t>eitsaufträge:</w:t>
      </w:r>
    </w:p>
    <w:p w:rsidR="0013688A" w:rsidRDefault="0013688A" w:rsidP="005348E6">
      <w:pPr>
        <w:suppressLineNumbers/>
        <w:ind w:left="0" w:firstLine="0"/>
        <w:jc w:val="both"/>
        <w:rPr>
          <w:sz w:val="24"/>
          <w:u w:val="single"/>
        </w:rPr>
      </w:pPr>
    </w:p>
    <w:p w:rsidR="005348E6" w:rsidRDefault="005348E6" w:rsidP="005348E6">
      <w:pPr>
        <w:pStyle w:val="Listenabsatz"/>
        <w:numPr>
          <w:ilvl w:val="0"/>
          <w:numId w:val="2"/>
        </w:numPr>
        <w:suppressLineNumbers/>
        <w:jc w:val="both"/>
        <w:rPr>
          <w:sz w:val="24"/>
        </w:rPr>
      </w:pPr>
      <w:r>
        <w:rPr>
          <w:sz w:val="24"/>
        </w:rPr>
        <w:t>Lies den obigen Text a</w:t>
      </w:r>
      <w:r w:rsidR="00E63AF2">
        <w:rPr>
          <w:sz w:val="24"/>
        </w:rPr>
        <w:t xml:space="preserve">ufmerksam und unterstreiche </w:t>
      </w:r>
      <w:r>
        <w:rPr>
          <w:sz w:val="24"/>
        </w:rPr>
        <w:t>unbekannte Begriffe, die du noch recherchieren musst.</w:t>
      </w:r>
    </w:p>
    <w:p w:rsidR="005348E6" w:rsidRDefault="005348E6" w:rsidP="005348E6">
      <w:pPr>
        <w:pStyle w:val="Listenabsatz"/>
        <w:numPr>
          <w:ilvl w:val="0"/>
          <w:numId w:val="2"/>
        </w:numPr>
        <w:suppressLineNumbers/>
        <w:jc w:val="both"/>
        <w:rPr>
          <w:sz w:val="24"/>
        </w:rPr>
      </w:pPr>
      <w:r>
        <w:rPr>
          <w:sz w:val="24"/>
        </w:rPr>
        <w:t>Erschließe dir die Bedeutung dieser Begriffe mit Hilfe der aus</w:t>
      </w:r>
      <w:r w:rsidR="00E63AF2">
        <w:rPr>
          <w:sz w:val="24"/>
        </w:rPr>
        <w:t>liegenden Lexika oder mit Hilfe</w:t>
      </w:r>
      <w:r>
        <w:rPr>
          <w:sz w:val="24"/>
        </w:rPr>
        <w:t xml:space="preserve"> des Internets.</w:t>
      </w:r>
    </w:p>
    <w:p w:rsidR="005348E6" w:rsidRDefault="005348E6" w:rsidP="005348E6">
      <w:pPr>
        <w:pStyle w:val="Listenabsatz"/>
        <w:numPr>
          <w:ilvl w:val="0"/>
          <w:numId w:val="2"/>
        </w:numPr>
        <w:suppressLineNumbers/>
        <w:jc w:val="both"/>
        <w:rPr>
          <w:sz w:val="24"/>
        </w:rPr>
      </w:pPr>
      <w:r>
        <w:rPr>
          <w:sz w:val="24"/>
        </w:rPr>
        <w:t>Entscheide na</w:t>
      </w:r>
      <w:r w:rsidR="00E63AF2">
        <w:rPr>
          <w:sz w:val="24"/>
        </w:rPr>
        <w:t xml:space="preserve">ch einer </w:t>
      </w:r>
      <w:r w:rsidR="00981234">
        <w:rPr>
          <w:sz w:val="24"/>
        </w:rPr>
        <w:t>nochmaligen Textlektüre</w:t>
      </w:r>
      <w:r>
        <w:rPr>
          <w:sz w:val="24"/>
        </w:rPr>
        <w:t xml:space="preserve">, ob die folgenden Aussagen </w:t>
      </w:r>
      <w:r>
        <w:rPr>
          <w:i/>
          <w:sz w:val="24"/>
        </w:rPr>
        <w:t>richtig</w:t>
      </w:r>
      <w:r>
        <w:rPr>
          <w:sz w:val="24"/>
        </w:rPr>
        <w:t xml:space="preserve"> oder </w:t>
      </w:r>
      <w:r>
        <w:rPr>
          <w:i/>
          <w:sz w:val="24"/>
        </w:rPr>
        <w:t xml:space="preserve">falsch </w:t>
      </w:r>
      <w:r>
        <w:rPr>
          <w:sz w:val="24"/>
        </w:rPr>
        <w:t>sind.</w:t>
      </w:r>
    </w:p>
    <w:p w:rsidR="005348E6" w:rsidRDefault="005348E6" w:rsidP="005348E6">
      <w:pPr>
        <w:pStyle w:val="Listenabsatz"/>
        <w:suppressLineNumbers/>
        <w:ind w:left="360" w:firstLine="0"/>
        <w:jc w:val="both"/>
        <w:rPr>
          <w:sz w:val="24"/>
        </w:rPr>
      </w:pPr>
    </w:p>
    <w:tbl>
      <w:tblPr>
        <w:tblStyle w:val="Tabellenraster"/>
        <w:tblW w:w="0" w:type="auto"/>
        <w:tblInd w:w="360" w:type="dxa"/>
        <w:tblLook w:val="04A0" w:firstRow="1" w:lastRow="0" w:firstColumn="1" w:lastColumn="0" w:noHBand="0" w:noVBand="1"/>
      </w:tblPr>
      <w:tblGrid>
        <w:gridCol w:w="4914"/>
        <w:gridCol w:w="854"/>
        <w:gridCol w:w="798"/>
        <w:gridCol w:w="2136"/>
      </w:tblGrid>
      <w:tr w:rsidR="00382840" w:rsidTr="005348E6">
        <w:tc>
          <w:tcPr>
            <w:tcW w:w="5164" w:type="dxa"/>
          </w:tcPr>
          <w:p w:rsidR="005348E6" w:rsidRPr="005348E6" w:rsidRDefault="005348E6" w:rsidP="005348E6">
            <w:pPr>
              <w:pStyle w:val="Listenabsatz"/>
              <w:suppressLineNumbers/>
              <w:ind w:left="0" w:firstLine="0"/>
              <w:jc w:val="center"/>
              <w:rPr>
                <w:b/>
                <w:i/>
                <w:sz w:val="24"/>
              </w:rPr>
            </w:pPr>
            <w:r w:rsidRPr="005348E6">
              <w:rPr>
                <w:b/>
                <w:i/>
                <w:sz w:val="24"/>
              </w:rPr>
              <w:t>Textaussage</w:t>
            </w:r>
          </w:p>
        </w:tc>
        <w:tc>
          <w:tcPr>
            <w:tcW w:w="681" w:type="dxa"/>
          </w:tcPr>
          <w:p w:rsidR="005348E6" w:rsidRPr="005348E6" w:rsidRDefault="005348E6" w:rsidP="005348E6">
            <w:pPr>
              <w:pStyle w:val="Listenabsatz"/>
              <w:suppressLineNumbers/>
              <w:ind w:left="0" w:firstLine="0"/>
              <w:jc w:val="center"/>
              <w:rPr>
                <w:b/>
                <w:i/>
                <w:sz w:val="24"/>
              </w:rPr>
            </w:pPr>
            <w:r w:rsidRPr="005348E6">
              <w:rPr>
                <w:b/>
                <w:i/>
                <w:sz w:val="24"/>
              </w:rPr>
              <w:t>richtig</w:t>
            </w:r>
          </w:p>
        </w:tc>
        <w:tc>
          <w:tcPr>
            <w:tcW w:w="681" w:type="dxa"/>
          </w:tcPr>
          <w:p w:rsidR="005348E6" w:rsidRPr="005348E6" w:rsidRDefault="005348E6" w:rsidP="005348E6">
            <w:pPr>
              <w:pStyle w:val="Listenabsatz"/>
              <w:suppressLineNumbers/>
              <w:ind w:left="0" w:firstLine="0"/>
              <w:jc w:val="center"/>
              <w:rPr>
                <w:b/>
                <w:i/>
                <w:sz w:val="24"/>
              </w:rPr>
            </w:pPr>
            <w:r w:rsidRPr="005348E6">
              <w:rPr>
                <w:b/>
                <w:i/>
                <w:sz w:val="24"/>
              </w:rPr>
              <w:t>falsch</w:t>
            </w:r>
          </w:p>
        </w:tc>
        <w:tc>
          <w:tcPr>
            <w:tcW w:w="2176" w:type="dxa"/>
          </w:tcPr>
          <w:p w:rsidR="005348E6" w:rsidRPr="005348E6" w:rsidRDefault="005348E6" w:rsidP="005348E6">
            <w:pPr>
              <w:pStyle w:val="Listenabsatz"/>
              <w:suppressLineNumbers/>
              <w:ind w:left="0" w:firstLine="0"/>
              <w:jc w:val="center"/>
              <w:rPr>
                <w:b/>
                <w:i/>
                <w:sz w:val="24"/>
              </w:rPr>
            </w:pPr>
            <w:r w:rsidRPr="005348E6">
              <w:rPr>
                <w:b/>
                <w:i/>
                <w:sz w:val="24"/>
              </w:rPr>
              <w:t>Textbeleg (Zeilenangabe)</w:t>
            </w:r>
          </w:p>
        </w:tc>
      </w:tr>
      <w:tr w:rsidR="00382840" w:rsidTr="005348E6">
        <w:tc>
          <w:tcPr>
            <w:tcW w:w="5164" w:type="dxa"/>
          </w:tcPr>
          <w:p w:rsidR="005348E6" w:rsidRDefault="00E63AF2" w:rsidP="00E63AF2">
            <w:pPr>
              <w:pStyle w:val="Listenabsatz"/>
              <w:numPr>
                <w:ilvl w:val="0"/>
                <w:numId w:val="3"/>
              </w:numPr>
              <w:suppressLineNumbers/>
              <w:jc w:val="both"/>
              <w:rPr>
                <w:sz w:val="24"/>
              </w:rPr>
            </w:pPr>
            <w:r>
              <w:rPr>
                <w:sz w:val="24"/>
              </w:rPr>
              <w:t xml:space="preserve">Im Verständnis von </w:t>
            </w:r>
            <w:r w:rsidRPr="00E63AF2">
              <w:rPr>
                <w:i/>
                <w:sz w:val="24"/>
              </w:rPr>
              <w:t>Heiliger</w:t>
            </w:r>
            <w:r>
              <w:rPr>
                <w:sz w:val="24"/>
              </w:rPr>
              <w:t xml:space="preserve"> </w:t>
            </w:r>
            <w:r>
              <w:rPr>
                <w:i/>
                <w:sz w:val="24"/>
              </w:rPr>
              <w:t xml:space="preserve">Schrift </w:t>
            </w:r>
            <w:r>
              <w:rPr>
                <w:sz w:val="24"/>
              </w:rPr>
              <w:t xml:space="preserve">und </w:t>
            </w:r>
            <w:r>
              <w:rPr>
                <w:i/>
                <w:sz w:val="24"/>
              </w:rPr>
              <w:t>Tradition</w:t>
            </w:r>
            <w:r>
              <w:rPr>
                <w:sz w:val="24"/>
              </w:rPr>
              <w:t xml:space="preserve"> bestehen konfessionelle Unter-schiede.</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r w:rsidR="00382840" w:rsidTr="005348E6">
        <w:tc>
          <w:tcPr>
            <w:tcW w:w="5164" w:type="dxa"/>
          </w:tcPr>
          <w:p w:rsidR="005348E6" w:rsidRDefault="00E63AF2" w:rsidP="00E63AF2">
            <w:pPr>
              <w:pStyle w:val="Listenabsatz"/>
              <w:numPr>
                <w:ilvl w:val="0"/>
                <w:numId w:val="3"/>
              </w:numPr>
              <w:suppressLineNumbers/>
              <w:jc w:val="both"/>
              <w:rPr>
                <w:sz w:val="24"/>
              </w:rPr>
            </w:pPr>
            <w:r>
              <w:rPr>
                <w:sz w:val="24"/>
              </w:rPr>
              <w:t>Nach katholischem Verständnis ist die Tradition unwichtig für das Verstehen der Heiligen Schrift.</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r w:rsidR="00382840" w:rsidTr="005348E6">
        <w:tc>
          <w:tcPr>
            <w:tcW w:w="5164" w:type="dxa"/>
          </w:tcPr>
          <w:p w:rsidR="005348E6" w:rsidRDefault="00E63AF2" w:rsidP="00E63AF2">
            <w:pPr>
              <w:pStyle w:val="Listenabsatz"/>
              <w:numPr>
                <w:ilvl w:val="0"/>
                <w:numId w:val="3"/>
              </w:numPr>
              <w:suppressLineNumbers/>
              <w:jc w:val="both"/>
              <w:rPr>
                <w:sz w:val="24"/>
              </w:rPr>
            </w:pPr>
            <w:r>
              <w:rPr>
                <w:sz w:val="24"/>
              </w:rPr>
              <w:t>Im Leben der Kirche zeigt sich, was in der Heiligen Schrift gemeint ist.</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r w:rsidR="00382840" w:rsidTr="005348E6">
        <w:tc>
          <w:tcPr>
            <w:tcW w:w="5164" w:type="dxa"/>
          </w:tcPr>
          <w:p w:rsidR="005348E6" w:rsidRDefault="00E63AF2" w:rsidP="00E63AF2">
            <w:pPr>
              <w:pStyle w:val="Listenabsatz"/>
              <w:numPr>
                <w:ilvl w:val="0"/>
                <w:numId w:val="3"/>
              </w:numPr>
              <w:suppressLineNumbers/>
              <w:jc w:val="both"/>
              <w:rPr>
                <w:sz w:val="24"/>
              </w:rPr>
            </w:pPr>
            <w:proofErr w:type="spellStart"/>
            <w:r>
              <w:rPr>
                <w:i/>
                <w:sz w:val="24"/>
              </w:rPr>
              <w:t>Sola</w:t>
            </w:r>
            <w:proofErr w:type="spellEnd"/>
            <w:r>
              <w:rPr>
                <w:i/>
                <w:sz w:val="24"/>
              </w:rPr>
              <w:t xml:space="preserve"> </w:t>
            </w:r>
            <w:proofErr w:type="spellStart"/>
            <w:r>
              <w:rPr>
                <w:i/>
                <w:sz w:val="24"/>
              </w:rPr>
              <w:t>scriptura</w:t>
            </w:r>
            <w:proofErr w:type="spellEnd"/>
            <w:r>
              <w:rPr>
                <w:i/>
                <w:sz w:val="24"/>
              </w:rPr>
              <w:t xml:space="preserve"> </w:t>
            </w:r>
            <w:r>
              <w:rPr>
                <w:sz w:val="24"/>
              </w:rPr>
              <w:t>im lutherischen Sinn betont die Wichtigkeit der Tradition.</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r w:rsidR="00382840" w:rsidTr="005348E6">
        <w:tc>
          <w:tcPr>
            <w:tcW w:w="5164" w:type="dxa"/>
          </w:tcPr>
          <w:p w:rsidR="005348E6" w:rsidRDefault="00E63AF2" w:rsidP="00E63AF2">
            <w:pPr>
              <w:pStyle w:val="Listenabsatz"/>
              <w:numPr>
                <w:ilvl w:val="0"/>
                <w:numId w:val="3"/>
              </w:numPr>
              <w:suppressLineNumbers/>
              <w:jc w:val="both"/>
              <w:rPr>
                <w:sz w:val="24"/>
              </w:rPr>
            </w:pPr>
            <w:r>
              <w:rPr>
                <w:sz w:val="24"/>
              </w:rPr>
              <w:t xml:space="preserve">Sowohl die katholische als auch die </w:t>
            </w:r>
            <w:r w:rsidR="00382840">
              <w:rPr>
                <w:sz w:val="24"/>
              </w:rPr>
              <w:t xml:space="preserve">evangelische </w:t>
            </w:r>
            <w:r>
              <w:rPr>
                <w:sz w:val="24"/>
              </w:rPr>
              <w:t>Exegese</w:t>
            </w:r>
            <w:r w:rsidR="00382840">
              <w:rPr>
                <w:sz w:val="24"/>
              </w:rPr>
              <w:t xml:space="preserve"> wissen um die Notwendigkeit hermeneutischer Prozesse.</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r w:rsidR="00382840" w:rsidTr="005348E6">
        <w:tc>
          <w:tcPr>
            <w:tcW w:w="5164" w:type="dxa"/>
          </w:tcPr>
          <w:p w:rsidR="005348E6" w:rsidRDefault="00382840" w:rsidP="00382840">
            <w:pPr>
              <w:pStyle w:val="Listenabsatz"/>
              <w:numPr>
                <w:ilvl w:val="0"/>
                <w:numId w:val="3"/>
              </w:numPr>
              <w:suppressLineNumbers/>
              <w:jc w:val="both"/>
              <w:rPr>
                <w:sz w:val="24"/>
              </w:rPr>
            </w:pPr>
            <w:r>
              <w:rPr>
                <w:sz w:val="24"/>
              </w:rPr>
              <w:t>Biblische Texte können ohne Weiteres bei ethischer Urteilsfindung heute hilfreich sein.</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r w:rsidR="00382840" w:rsidTr="005348E6">
        <w:tc>
          <w:tcPr>
            <w:tcW w:w="5164" w:type="dxa"/>
          </w:tcPr>
          <w:p w:rsidR="005348E6" w:rsidRDefault="00382840" w:rsidP="00382840">
            <w:pPr>
              <w:pStyle w:val="Listenabsatz"/>
              <w:numPr>
                <w:ilvl w:val="0"/>
                <w:numId w:val="3"/>
              </w:numPr>
              <w:suppressLineNumbers/>
              <w:jc w:val="both"/>
              <w:rPr>
                <w:sz w:val="24"/>
              </w:rPr>
            </w:pPr>
            <w:r>
              <w:rPr>
                <w:sz w:val="24"/>
              </w:rPr>
              <w:t xml:space="preserve">Die Konfessionen sind uneins bei der </w:t>
            </w:r>
            <w:proofErr w:type="spellStart"/>
            <w:r>
              <w:rPr>
                <w:sz w:val="24"/>
              </w:rPr>
              <w:t>aktuali-sierenden</w:t>
            </w:r>
            <w:proofErr w:type="spellEnd"/>
            <w:r>
              <w:rPr>
                <w:sz w:val="24"/>
              </w:rPr>
              <w:t xml:space="preserve"> Auslegung der Bibel.</w:t>
            </w:r>
          </w:p>
        </w:tc>
        <w:tc>
          <w:tcPr>
            <w:tcW w:w="681" w:type="dxa"/>
          </w:tcPr>
          <w:p w:rsidR="005348E6" w:rsidRDefault="005348E6" w:rsidP="005348E6">
            <w:pPr>
              <w:pStyle w:val="Listenabsatz"/>
              <w:suppressLineNumbers/>
              <w:ind w:left="0" w:firstLine="0"/>
              <w:jc w:val="both"/>
              <w:rPr>
                <w:sz w:val="24"/>
              </w:rPr>
            </w:pPr>
          </w:p>
        </w:tc>
        <w:tc>
          <w:tcPr>
            <w:tcW w:w="681" w:type="dxa"/>
          </w:tcPr>
          <w:p w:rsidR="005348E6" w:rsidRDefault="005348E6" w:rsidP="005348E6">
            <w:pPr>
              <w:pStyle w:val="Listenabsatz"/>
              <w:suppressLineNumbers/>
              <w:ind w:left="0" w:firstLine="0"/>
              <w:jc w:val="both"/>
              <w:rPr>
                <w:sz w:val="24"/>
              </w:rPr>
            </w:pPr>
          </w:p>
        </w:tc>
        <w:tc>
          <w:tcPr>
            <w:tcW w:w="2176" w:type="dxa"/>
          </w:tcPr>
          <w:p w:rsidR="005348E6" w:rsidRDefault="005348E6" w:rsidP="005348E6">
            <w:pPr>
              <w:pStyle w:val="Listenabsatz"/>
              <w:suppressLineNumbers/>
              <w:ind w:left="0" w:firstLine="0"/>
              <w:jc w:val="both"/>
              <w:rPr>
                <w:sz w:val="24"/>
              </w:rPr>
            </w:pPr>
          </w:p>
        </w:tc>
      </w:tr>
    </w:tbl>
    <w:p w:rsidR="005348E6" w:rsidRDefault="005348E6" w:rsidP="005348E6">
      <w:pPr>
        <w:pStyle w:val="Listenabsatz"/>
        <w:suppressLineNumbers/>
        <w:ind w:left="360" w:firstLine="0"/>
        <w:jc w:val="both"/>
        <w:rPr>
          <w:sz w:val="24"/>
        </w:rPr>
      </w:pPr>
    </w:p>
    <w:p w:rsidR="00382840" w:rsidRPr="005348E6" w:rsidRDefault="00382840" w:rsidP="00631168">
      <w:pPr>
        <w:pStyle w:val="Listenabsatz"/>
        <w:numPr>
          <w:ilvl w:val="0"/>
          <w:numId w:val="5"/>
        </w:numPr>
        <w:suppressLineNumbers/>
        <w:jc w:val="both"/>
        <w:rPr>
          <w:sz w:val="24"/>
        </w:rPr>
      </w:pPr>
      <w:r>
        <w:rPr>
          <w:sz w:val="24"/>
        </w:rPr>
        <w:t xml:space="preserve">Erstellt in Partnerarbeit eine Grafik, mit deren Hilfe ihr den Textinhalt </w:t>
      </w:r>
      <w:r w:rsidR="00E6452B">
        <w:rPr>
          <w:sz w:val="24"/>
        </w:rPr>
        <w:t xml:space="preserve">anschließend </w:t>
      </w:r>
      <w:r>
        <w:rPr>
          <w:sz w:val="24"/>
        </w:rPr>
        <w:t>präsentieren könnt.</w:t>
      </w:r>
    </w:p>
    <w:sectPr w:rsidR="00382840" w:rsidRPr="005348E6" w:rsidSect="00F865F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2" w:rsidRDefault="00DA66B2" w:rsidP="0013688A">
      <w:r>
        <w:separator/>
      </w:r>
    </w:p>
  </w:endnote>
  <w:endnote w:type="continuationSeparator" w:id="0">
    <w:p w:rsidR="00DA66B2" w:rsidRDefault="00DA66B2" w:rsidP="0013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51769"/>
      <w:docPartObj>
        <w:docPartGallery w:val="Page Numbers (Bottom of Page)"/>
        <w:docPartUnique/>
      </w:docPartObj>
    </w:sdtPr>
    <w:sdtEndPr/>
    <w:sdtContent>
      <w:p w:rsidR="00D47393" w:rsidRDefault="00D47393">
        <w:pPr>
          <w:pStyle w:val="Fuzeile"/>
          <w:jc w:val="center"/>
        </w:pPr>
        <w:r>
          <w:fldChar w:fldCharType="begin"/>
        </w:r>
        <w:r>
          <w:instrText>PAGE   \* MERGEFORMAT</w:instrText>
        </w:r>
        <w:r>
          <w:fldChar w:fldCharType="separate"/>
        </w:r>
        <w:r w:rsidR="00F67178">
          <w:rPr>
            <w:noProof/>
          </w:rPr>
          <w:t>2</w:t>
        </w:r>
        <w:r>
          <w:fldChar w:fldCharType="end"/>
        </w:r>
      </w:p>
    </w:sdtContent>
  </w:sdt>
  <w:p w:rsidR="0013688A" w:rsidRDefault="00136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2" w:rsidRDefault="00DA66B2" w:rsidP="0013688A">
      <w:r>
        <w:separator/>
      </w:r>
    </w:p>
  </w:footnote>
  <w:footnote w:type="continuationSeparator" w:id="0">
    <w:p w:rsidR="00DA66B2" w:rsidRDefault="00DA66B2" w:rsidP="0013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A75"/>
    <w:multiLevelType w:val="hybridMultilevel"/>
    <w:tmpl w:val="129E8D32"/>
    <w:lvl w:ilvl="0" w:tplc="A49EEFAA">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D37ED1"/>
    <w:multiLevelType w:val="hybridMultilevel"/>
    <w:tmpl w:val="DE6C76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F35354"/>
    <w:multiLevelType w:val="hybridMultilevel"/>
    <w:tmpl w:val="F83811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04693D"/>
    <w:multiLevelType w:val="hybridMultilevel"/>
    <w:tmpl w:val="6BA89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C64814"/>
    <w:multiLevelType w:val="hybridMultilevel"/>
    <w:tmpl w:val="B7BA0694"/>
    <w:lvl w:ilvl="0" w:tplc="E2A4638C">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A3"/>
    <w:rsid w:val="00014FB5"/>
    <w:rsid w:val="0003603A"/>
    <w:rsid w:val="00090EEF"/>
    <w:rsid w:val="0013688A"/>
    <w:rsid w:val="00153A57"/>
    <w:rsid w:val="001548A3"/>
    <w:rsid w:val="00187EAE"/>
    <w:rsid w:val="001C0EE3"/>
    <w:rsid w:val="002274B6"/>
    <w:rsid w:val="003772B4"/>
    <w:rsid w:val="00382840"/>
    <w:rsid w:val="0048213F"/>
    <w:rsid w:val="004D5CDE"/>
    <w:rsid w:val="005348E6"/>
    <w:rsid w:val="005D55B5"/>
    <w:rsid w:val="00631168"/>
    <w:rsid w:val="00665478"/>
    <w:rsid w:val="006F08C6"/>
    <w:rsid w:val="008433C4"/>
    <w:rsid w:val="0094749B"/>
    <w:rsid w:val="00981234"/>
    <w:rsid w:val="00981B16"/>
    <w:rsid w:val="00A33B50"/>
    <w:rsid w:val="00A53914"/>
    <w:rsid w:val="00A72E58"/>
    <w:rsid w:val="00A96680"/>
    <w:rsid w:val="00B107D1"/>
    <w:rsid w:val="00C51787"/>
    <w:rsid w:val="00CA5A91"/>
    <w:rsid w:val="00D40CB1"/>
    <w:rsid w:val="00D47393"/>
    <w:rsid w:val="00DA66B2"/>
    <w:rsid w:val="00E02320"/>
    <w:rsid w:val="00E20519"/>
    <w:rsid w:val="00E63AF2"/>
    <w:rsid w:val="00E6452B"/>
    <w:rsid w:val="00EE4FAE"/>
    <w:rsid w:val="00F67178"/>
    <w:rsid w:val="00F75B3E"/>
    <w:rsid w:val="00F86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7900"/>
  <w15:chartTrackingRefBased/>
  <w15:docId w15:val="{39194244-D756-4C05-B587-081AE60D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1368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865F1"/>
  </w:style>
  <w:style w:type="paragraph" w:styleId="Listenabsatz">
    <w:name w:val="List Paragraph"/>
    <w:basedOn w:val="Standard"/>
    <w:uiPriority w:val="34"/>
    <w:qFormat/>
    <w:rsid w:val="005348E6"/>
    <w:pPr>
      <w:ind w:left="720"/>
      <w:contextualSpacing/>
    </w:pPr>
  </w:style>
  <w:style w:type="table" w:styleId="Tabellenraster">
    <w:name w:val="Table Grid"/>
    <w:basedOn w:val="NormaleTabelle"/>
    <w:uiPriority w:val="39"/>
    <w:rsid w:val="0053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48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48E6"/>
    <w:rPr>
      <w:rFonts w:ascii="Segoe UI" w:hAnsi="Segoe UI" w:cs="Segoe UI"/>
      <w:sz w:val="18"/>
      <w:szCs w:val="18"/>
      <w:lang w:eastAsia="de-DE"/>
    </w:rPr>
  </w:style>
  <w:style w:type="character" w:customStyle="1" w:styleId="berschrift1Zchn">
    <w:name w:val="Überschrift 1 Zchn"/>
    <w:basedOn w:val="Absatz-Standardschriftart"/>
    <w:link w:val="berschrift1"/>
    <w:uiPriority w:val="9"/>
    <w:rsid w:val="0013688A"/>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13688A"/>
    <w:pPr>
      <w:tabs>
        <w:tab w:val="center" w:pos="4536"/>
        <w:tab w:val="right" w:pos="9072"/>
      </w:tabs>
    </w:pPr>
  </w:style>
  <w:style w:type="character" w:customStyle="1" w:styleId="KopfzeileZchn">
    <w:name w:val="Kopfzeile Zchn"/>
    <w:basedOn w:val="Absatz-Standardschriftart"/>
    <w:link w:val="Kopfzeile"/>
    <w:uiPriority w:val="99"/>
    <w:rsid w:val="0013688A"/>
    <w:rPr>
      <w:rFonts w:ascii="Calibri" w:hAnsi="Calibri" w:cs="Times New Roman"/>
      <w:szCs w:val="20"/>
      <w:lang w:eastAsia="de-DE"/>
    </w:rPr>
  </w:style>
  <w:style w:type="paragraph" w:styleId="Fuzeile">
    <w:name w:val="footer"/>
    <w:basedOn w:val="Standard"/>
    <w:link w:val="FuzeileZchn"/>
    <w:uiPriority w:val="99"/>
    <w:unhideWhenUsed/>
    <w:rsid w:val="0013688A"/>
    <w:pPr>
      <w:tabs>
        <w:tab w:val="center" w:pos="4536"/>
        <w:tab w:val="right" w:pos="9072"/>
      </w:tabs>
    </w:pPr>
  </w:style>
  <w:style w:type="character" w:customStyle="1" w:styleId="FuzeileZchn">
    <w:name w:val="Fußzeile Zchn"/>
    <w:basedOn w:val="Absatz-Standardschriftart"/>
    <w:link w:val="Fuzeile"/>
    <w:uiPriority w:val="99"/>
    <w:rsid w:val="0013688A"/>
    <w:rPr>
      <w:rFonts w:ascii="Calibri" w:hAnsi="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346D-8E75-4C2D-BBE7-AC96AFA9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8</cp:revision>
  <cp:lastPrinted>2017-10-27T14:14:00Z</cp:lastPrinted>
  <dcterms:created xsi:type="dcterms:W3CDTF">2017-12-05T10:37:00Z</dcterms:created>
  <dcterms:modified xsi:type="dcterms:W3CDTF">2019-07-14T13:43:00Z</dcterms:modified>
</cp:coreProperties>
</file>