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
        <w:gridCol w:w="817"/>
        <w:gridCol w:w="659"/>
        <w:gridCol w:w="715"/>
        <w:gridCol w:w="715"/>
        <w:gridCol w:w="715"/>
        <w:gridCol w:w="1579"/>
        <w:gridCol w:w="1044"/>
        <w:gridCol w:w="1350"/>
        <w:gridCol w:w="1735"/>
      </w:tblGrid>
      <w:tr w:rsidR="000B142D" w:rsidRPr="00E144D7" w14:paraId="44647AEF" w14:textId="77777777" w:rsidTr="001B3990">
        <w:trPr>
          <w:trHeight w:val="699"/>
        </w:trPr>
        <w:tc>
          <w:tcPr>
            <w:tcW w:w="4215" w:type="dxa"/>
            <w:gridSpan w:val="6"/>
          </w:tcPr>
          <w:p w14:paraId="380D61FA" w14:textId="01B97CB0" w:rsidR="000B142D" w:rsidRPr="00E144D7" w:rsidRDefault="00B748D4" w:rsidP="001B3990">
            <w:pPr>
              <w:spacing w:after="0" w:line="259" w:lineRule="auto"/>
              <w:jc w:val="center"/>
              <w:rPr>
                <w:b/>
                <w:bCs/>
              </w:rPr>
            </w:pPr>
            <w:r>
              <w:rPr>
                <w:b/>
                <w:bCs/>
              </w:rPr>
              <w:t xml:space="preserve"> </w:t>
            </w:r>
            <w:r w:rsidR="000B142D" w:rsidRPr="00E144D7">
              <w:rPr>
                <w:b/>
                <w:bCs/>
              </w:rPr>
              <w:t>Schule</w:t>
            </w:r>
          </w:p>
          <w:p w14:paraId="747487AA" w14:textId="1AAF0768" w:rsidR="000B142D" w:rsidRPr="00E144D7" w:rsidRDefault="000B142D" w:rsidP="001B3990">
            <w:pPr>
              <w:spacing w:after="0" w:line="259" w:lineRule="auto"/>
              <w:jc w:val="center"/>
              <w:rPr>
                <w:b/>
                <w:bCs/>
              </w:rPr>
            </w:pPr>
          </w:p>
        </w:tc>
        <w:tc>
          <w:tcPr>
            <w:tcW w:w="5708" w:type="dxa"/>
            <w:gridSpan w:val="4"/>
          </w:tcPr>
          <w:p w14:paraId="3585686A" w14:textId="77777777" w:rsidR="000B142D" w:rsidRPr="00E144D7" w:rsidRDefault="000B142D" w:rsidP="001B3990">
            <w:pPr>
              <w:spacing w:after="0" w:line="240" w:lineRule="auto"/>
              <w:jc w:val="center"/>
              <w:rPr>
                <w:b/>
                <w:bCs/>
              </w:rPr>
            </w:pPr>
            <w:r w:rsidRPr="00E144D7">
              <w:rPr>
                <w:b/>
                <w:bCs/>
              </w:rPr>
              <w:t>Mündliche Abiturprüfung</w:t>
            </w:r>
          </w:p>
          <w:p w14:paraId="5A037476" w14:textId="77777777" w:rsidR="000B142D" w:rsidRPr="00E144D7" w:rsidRDefault="000B142D" w:rsidP="001B3990">
            <w:pPr>
              <w:spacing w:after="0" w:line="240" w:lineRule="auto"/>
              <w:rPr>
                <w:b/>
                <w:bCs/>
              </w:rPr>
            </w:pPr>
            <w:r w:rsidRPr="00E144D7">
              <w:rPr>
                <w:b/>
                <w:bCs/>
              </w:rPr>
              <w:t xml:space="preserve">Datum: </w:t>
            </w:r>
          </w:p>
          <w:p w14:paraId="5197B76C" w14:textId="77777777" w:rsidR="000B142D" w:rsidRPr="00E144D7" w:rsidRDefault="000B142D" w:rsidP="001B3990">
            <w:pPr>
              <w:spacing w:after="0" w:line="240" w:lineRule="auto"/>
              <w:rPr>
                <w:b/>
                <w:bCs/>
              </w:rPr>
            </w:pPr>
            <w:r w:rsidRPr="00E144D7">
              <w:rPr>
                <w:b/>
                <w:bCs/>
              </w:rPr>
              <w:t xml:space="preserve">Prüfungszeit: </w:t>
            </w:r>
          </w:p>
        </w:tc>
      </w:tr>
      <w:tr w:rsidR="000B142D" w:rsidRPr="00E144D7" w14:paraId="352CE264" w14:textId="77777777" w:rsidTr="001B3990">
        <w:trPr>
          <w:trHeight w:val="567"/>
        </w:trPr>
        <w:tc>
          <w:tcPr>
            <w:tcW w:w="594" w:type="dxa"/>
          </w:tcPr>
          <w:p w14:paraId="5DCCEE5A" w14:textId="77777777" w:rsidR="000B142D" w:rsidRPr="00E144D7" w:rsidRDefault="000B142D" w:rsidP="001B3990">
            <w:pPr>
              <w:spacing w:after="0" w:line="259" w:lineRule="auto"/>
              <w:jc w:val="center"/>
              <w:rPr>
                <w:b/>
              </w:rPr>
            </w:pPr>
            <w:r>
              <w:rPr>
                <w:b/>
              </w:rPr>
              <w:t>BF</w:t>
            </w:r>
            <w:r w:rsidRPr="00E144D7">
              <w:rPr>
                <w:b/>
              </w:rPr>
              <w:t xml:space="preserve"> </w:t>
            </w:r>
          </w:p>
          <w:p w14:paraId="19E0D022" w14:textId="77777777" w:rsidR="000B142D" w:rsidRPr="00E144D7" w:rsidRDefault="000B142D" w:rsidP="001B3990">
            <w:pPr>
              <w:spacing w:after="0" w:line="259" w:lineRule="auto"/>
              <w:jc w:val="center"/>
              <w:rPr>
                <w:b/>
                <w:sz w:val="28"/>
                <w:szCs w:val="28"/>
              </w:rPr>
            </w:pPr>
            <w:r w:rsidRPr="00E144D7">
              <w:rPr>
                <w:b/>
                <w:sz w:val="28"/>
                <w:szCs w:val="28"/>
              </w:rPr>
              <w:t>x</w:t>
            </w:r>
          </w:p>
        </w:tc>
        <w:tc>
          <w:tcPr>
            <w:tcW w:w="817" w:type="dxa"/>
          </w:tcPr>
          <w:p w14:paraId="609D6F3B" w14:textId="77777777" w:rsidR="000B142D" w:rsidRPr="00E144D7" w:rsidRDefault="000B142D" w:rsidP="001B3990">
            <w:pPr>
              <w:spacing w:after="0" w:line="259" w:lineRule="auto"/>
              <w:jc w:val="center"/>
              <w:rPr>
                <w:b/>
              </w:rPr>
            </w:pPr>
            <w:r>
              <w:rPr>
                <w:b/>
              </w:rPr>
              <w:t>LF</w:t>
            </w:r>
          </w:p>
          <w:p w14:paraId="12C12432" w14:textId="77777777" w:rsidR="000B142D" w:rsidRPr="00E144D7" w:rsidRDefault="000B142D" w:rsidP="001B3990">
            <w:pPr>
              <w:spacing w:after="0" w:line="259" w:lineRule="auto"/>
              <w:jc w:val="center"/>
              <w:rPr>
                <w:b/>
              </w:rPr>
            </w:pPr>
          </w:p>
        </w:tc>
        <w:tc>
          <w:tcPr>
            <w:tcW w:w="2804" w:type="dxa"/>
            <w:gridSpan w:val="4"/>
          </w:tcPr>
          <w:p w14:paraId="16964C03" w14:textId="77777777" w:rsidR="000B142D" w:rsidRPr="00E144D7" w:rsidRDefault="000B142D" w:rsidP="001B3990">
            <w:pPr>
              <w:spacing w:after="0" w:line="259" w:lineRule="auto"/>
              <w:rPr>
                <w:b/>
              </w:rPr>
            </w:pPr>
            <w:r w:rsidRPr="00E144D7">
              <w:rPr>
                <w:b/>
              </w:rPr>
              <w:t xml:space="preserve">Fach: </w:t>
            </w:r>
          </w:p>
          <w:p w14:paraId="1EEECB42" w14:textId="77777777" w:rsidR="000B142D" w:rsidRPr="00E144D7" w:rsidRDefault="000B142D" w:rsidP="001B3990">
            <w:pPr>
              <w:spacing w:after="0" w:line="259" w:lineRule="auto"/>
              <w:rPr>
                <w:b/>
              </w:rPr>
            </w:pPr>
            <w:r w:rsidRPr="00E144D7">
              <w:rPr>
                <w:b/>
              </w:rPr>
              <w:t>Katholische Religionslehre</w:t>
            </w:r>
          </w:p>
        </w:tc>
        <w:tc>
          <w:tcPr>
            <w:tcW w:w="2623" w:type="dxa"/>
            <w:gridSpan w:val="2"/>
          </w:tcPr>
          <w:p w14:paraId="49F87758" w14:textId="77777777" w:rsidR="000B142D" w:rsidRPr="00E144D7" w:rsidRDefault="000B142D" w:rsidP="001B3990">
            <w:pPr>
              <w:spacing w:after="0" w:line="259" w:lineRule="auto"/>
              <w:rPr>
                <w:b/>
              </w:rPr>
            </w:pPr>
            <w:r w:rsidRPr="00E144D7">
              <w:rPr>
                <w:b/>
              </w:rPr>
              <w:t xml:space="preserve">Prüfer/-in: </w:t>
            </w:r>
          </w:p>
          <w:p w14:paraId="5C075909" w14:textId="50244180" w:rsidR="000B142D" w:rsidRPr="00E144D7" w:rsidRDefault="000B142D" w:rsidP="001B3990">
            <w:pPr>
              <w:pStyle w:val="berschrift1"/>
              <w:spacing w:line="259" w:lineRule="auto"/>
              <w:rPr>
                <w:rFonts w:asciiTheme="minorHAnsi" w:hAnsiTheme="minorHAnsi"/>
                <w:sz w:val="22"/>
                <w:szCs w:val="22"/>
              </w:rPr>
            </w:pPr>
          </w:p>
        </w:tc>
        <w:tc>
          <w:tcPr>
            <w:tcW w:w="3085" w:type="dxa"/>
            <w:gridSpan w:val="2"/>
          </w:tcPr>
          <w:p w14:paraId="20EFA7F5" w14:textId="77777777" w:rsidR="000B142D" w:rsidRPr="00E144D7" w:rsidRDefault="000B142D" w:rsidP="001B3990">
            <w:pPr>
              <w:spacing w:after="0" w:line="259" w:lineRule="auto"/>
              <w:rPr>
                <w:b/>
              </w:rPr>
            </w:pPr>
            <w:r>
              <w:rPr>
                <w:b/>
              </w:rPr>
              <w:t>Fachausschuss</w:t>
            </w:r>
            <w:r w:rsidRPr="00E144D7">
              <w:rPr>
                <w:b/>
              </w:rPr>
              <w:t>vorsitz:</w:t>
            </w:r>
          </w:p>
          <w:p w14:paraId="250B14E2" w14:textId="525D2793" w:rsidR="000B142D" w:rsidRPr="00E144D7" w:rsidRDefault="000B142D" w:rsidP="001B3990">
            <w:pPr>
              <w:spacing w:after="0" w:line="259" w:lineRule="auto"/>
              <w:rPr>
                <w:b/>
                <w:i/>
              </w:rPr>
            </w:pPr>
          </w:p>
        </w:tc>
      </w:tr>
      <w:tr w:rsidR="000B142D" w:rsidRPr="00E144D7" w14:paraId="58CB083F" w14:textId="77777777" w:rsidTr="001B3990">
        <w:trPr>
          <w:trHeight w:val="612"/>
        </w:trPr>
        <w:tc>
          <w:tcPr>
            <w:tcW w:w="1411" w:type="dxa"/>
            <w:gridSpan w:val="2"/>
          </w:tcPr>
          <w:p w14:paraId="15F5EA53" w14:textId="77777777" w:rsidR="000B142D" w:rsidRPr="00E144D7" w:rsidRDefault="000B142D" w:rsidP="001B3990">
            <w:pPr>
              <w:spacing w:after="0" w:line="259" w:lineRule="auto"/>
              <w:rPr>
                <w:b/>
              </w:rPr>
            </w:pPr>
            <w:r>
              <w:rPr>
                <w:b/>
              </w:rPr>
              <w:t xml:space="preserve">Inhalte </w:t>
            </w:r>
            <w:r w:rsidRPr="00E144D7">
              <w:rPr>
                <w:b/>
              </w:rPr>
              <w:t>aus</w:t>
            </w:r>
          </w:p>
          <w:p w14:paraId="162B3D62" w14:textId="77777777" w:rsidR="000B142D" w:rsidRPr="00E144D7" w:rsidRDefault="000B142D" w:rsidP="001B3990">
            <w:pPr>
              <w:spacing w:after="0" w:line="259" w:lineRule="auto"/>
              <w:rPr>
                <w:b/>
              </w:rPr>
            </w:pPr>
            <w:r w:rsidRPr="00E144D7">
              <w:rPr>
                <w:b/>
              </w:rPr>
              <w:t>Halbjahr:</w:t>
            </w:r>
          </w:p>
        </w:tc>
        <w:tc>
          <w:tcPr>
            <w:tcW w:w="659" w:type="dxa"/>
          </w:tcPr>
          <w:p w14:paraId="13DE9A2B" w14:textId="77777777" w:rsidR="000B142D" w:rsidRPr="00E144D7" w:rsidRDefault="000B142D" w:rsidP="001B3990">
            <w:pPr>
              <w:spacing w:after="0" w:line="259" w:lineRule="auto"/>
              <w:jc w:val="center"/>
              <w:rPr>
                <w:b/>
              </w:rPr>
            </w:pPr>
            <w:r w:rsidRPr="00E144D7">
              <w:rPr>
                <w:b/>
              </w:rPr>
              <w:t>11/1</w:t>
            </w:r>
          </w:p>
          <w:p w14:paraId="5DCD149F" w14:textId="77777777" w:rsidR="000B142D" w:rsidRPr="00E144D7" w:rsidRDefault="000B142D" w:rsidP="001B3990">
            <w:pPr>
              <w:spacing w:after="0" w:line="259" w:lineRule="auto"/>
              <w:jc w:val="center"/>
              <w:rPr>
                <w:b/>
                <w:sz w:val="28"/>
                <w:szCs w:val="28"/>
              </w:rPr>
            </w:pPr>
            <w:r w:rsidRPr="00E144D7">
              <w:rPr>
                <w:b/>
                <w:sz w:val="28"/>
                <w:szCs w:val="28"/>
              </w:rPr>
              <w:t>x</w:t>
            </w:r>
          </w:p>
        </w:tc>
        <w:tc>
          <w:tcPr>
            <w:tcW w:w="715" w:type="dxa"/>
          </w:tcPr>
          <w:p w14:paraId="1F9D1006" w14:textId="77777777" w:rsidR="000B142D" w:rsidRPr="00E144D7" w:rsidRDefault="000B142D" w:rsidP="001B3990">
            <w:pPr>
              <w:spacing w:after="0" w:line="259" w:lineRule="auto"/>
              <w:jc w:val="center"/>
              <w:rPr>
                <w:b/>
              </w:rPr>
            </w:pPr>
            <w:r w:rsidRPr="00E144D7">
              <w:rPr>
                <w:b/>
              </w:rPr>
              <w:t>11/2</w:t>
            </w:r>
          </w:p>
          <w:p w14:paraId="677C7E1C" w14:textId="77777777" w:rsidR="000B142D" w:rsidRPr="00E144D7" w:rsidRDefault="000B142D" w:rsidP="001B3990">
            <w:pPr>
              <w:spacing w:after="0" w:line="259" w:lineRule="auto"/>
              <w:jc w:val="center"/>
              <w:rPr>
                <w:b/>
              </w:rPr>
            </w:pPr>
          </w:p>
        </w:tc>
        <w:tc>
          <w:tcPr>
            <w:tcW w:w="715" w:type="dxa"/>
          </w:tcPr>
          <w:p w14:paraId="2DFEE066" w14:textId="77777777" w:rsidR="000B142D" w:rsidRPr="00E144D7" w:rsidRDefault="000B142D" w:rsidP="001B3990">
            <w:pPr>
              <w:spacing w:after="0" w:line="259" w:lineRule="auto"/>
              <w:jc w:val="center"/>
              <w:rPr>
                <w:b/>
              </w:rPr>
            </w:pPr>
            <w:r w:rsidRPr="00E144D7">
              <w:rPr>
                <w:b/>
              </w:rPr>
              <w:t>12/1</w:t>
            </w:r>
          </w:p>
          <w:p w14:paraId="25F375EF" w14:textId="77777777" w:rsidR="000B142D" w:rsidRPr="00E144D7" w:rsidRDefault="000B142D" w:rsidP="001B3990">
            <w:pPr>
              <w:spacing w:after="0" w:line="259" w:lineRule="auto"/>
              <w:jc w:val="center"/>
              <w:rPr>
                <w:b/>
              </w:rPr>
            </w:pPr>
          </w:p>
        </w:tc>
        <w:tc>
          <w:tcPr>
            <w:tcW w:w="715" w:type="dxa"/>
          </w:tcPr>
          <w:p w14:paraId="0800133E" w14:textId="77777777" w:rsidR="000B142D" w:rsidRPr="00E144D7" w:rsidRDefault="000B142D" w:rsidP="001B3990">
            <w:pPr>
              <w:spacing w:after="0" w:line="259" w:lineRule="auto"/>
              <w:jc w:val="center"/>
              <w:rPr>
                <w:b/>
              </w:rPr>
            </w:pPr>
            <w:r w:rsidRPr="00E144D7">
              <w:rPr>
                <w:b/>
              </w:rPr>
              <w:t>12/2</w:t>
            </w:r>
          </w:p>
          <w:p w14:paraId="05EED498" w14:textId="77777777" w:rsidR="000B142D" w:rsidRPr="00E144D7" w:rsidRDefault="000B142D" w:rsidP="001B3990">
            <w:pPr>
              <w:spacing w:after="0" w:line="259" w:lineRule="auto"/>
              <w:jc w:val="center"/>
              <w:rPr>
                <w:b/>
              </w:rPr>
            </w:pPr>
          </w:p>
        </w:tc>
        <w:tc>
          <w:tcPr>
            <w:tcW w:w="1579" w:type="dxa"/>
          </w:tcPr>
          <w:p w14:paraId="365E7EFF" w14:textId="77777777" w:rsidR="000B142D" w:rsidRPr="00E144D7" w:rsidRDefault="000B142D" w:rsidP="001B3990">
            <w:pPr>
              <w:spacing w:after="0" w:line="259" w:lineRule="auto"/>
              <w:rPr>
                <w:b/>
              </w:rPr>
            </w:pPr>
            <w:r w:rsidRPr="00E144D7">
              <w:rPr>
                <w:b/>
              </w:rPr>
              <w:t>Aufgabe Nr.:</w:t>
            </w:r>
          </w:p>
          <w:p w14:paraId="623AC3D1" w14:textId="47033D55" w:rsidR="000B142D" w:rsidRPr="000552DE" w:rsidRDefault="000B142D" w:rsidP="001B3990">
            <w:pPr>
              <w:spacing w:after="0" w:line="259" w:lineRule="auto"/>
              <w:jc w:val="center"/>
              <w:rPr>
                <w:b/>
                <w:sz w:val="28"/>
                <w:szCs w:val="28"/>
              </w:rPr>
            </w:pPr>
          </w:p>
        </w:tc>
        <w:tc>
          <w:tcPr>
            <w:tcW w:w="2394" w:type="dxa"/>
            <w:gridSpan w:val="2"/>
          </w:tcPr>
          <w:p w14:paraId="0AE805E4" w14:textId="6EFEFB80" w:rsidR="000B142D" w:rsidRPr="00E144D7" w:rsidRDefault="000B142D" w:rsidP="001B3990">
            <w:pPr>
              <w:spacing w:after="0" w:line="259" w:lineRule="auto"/>
              <w:rPr>
                <w:b/>
              </w:rPr>
            </w:pPr>
            <w:r w:rsidRPr="00E144D7">
              <w:rPr>
                <w:b/>
              </w:rPr>
              <w:t>Prüfling:</w:t>
            </w:r>
          </w:p>
        </w:tc>
        <w:tc>
          <w:tcPr>
            <w:tcW w:w="1735" w:type="dxa"/>
          </w:tcPr>
          <w:p w14:paraId="0236B980" w14:textId="77777777" w:rsidR="000B142D" w:rsidRPr="00E144D7" w:rsidRDefault="000B142D" w:rsidP="001B3990">
            <w:pPr>
              <w:spacing w:after="0" w:line="259" w:lineRule="auto"/>
              <w:rPr>
                <w:b/>
              </w:rPr>
            </w:pPr>
            <w:r w:rsidRPr="00E144D7">
              <w:rPr>
                <w:b/>
              </w:rPr>
              <w:t>Notenpunkte:</w:t>
            </w:r>
          </w:p>
          <w:p w14:paraId="0877036C" w14:textId="77777777" w:rsidR="000B142D" w:rsidRPr="00E144D7" w:rsidRDefault="000B142D" w:rsidP="001B3990">
            <w:pPr>
              <w:spacing w:after="0" w:line="259" w:lineRule="auto"/>
              <w:rPr>
                <w:b/>
              </w:rPr>
            </w:pPr>
          </w:p>
        </w:tc>
      </w:tr>
      <w:tr w:rsidR="000B142D" w:rsidRPr="00E144D7" w14:paraId="38F95450" w14:textId="77777777" w:rsidTr="00B5390A">
        <w:trPr>
          <w:trHeight w:val="522"/>
        </w:trPr>
        <w:tc>
          <w:tcPr>
            <w:tcW w:w="9923" w:type="dxa"/>
            <w:gridSpan w:val="10"/>
          </w:tcPr>
          <w:p w14:paraId="29A68B2C" w14:textId="35687B5E" w:rsidR="002034EA" w:rsidRPr="002034EA" w:rsidRDefault="002034EA" w:rsidP="000B142D">
            <w:pPr>
              <w:spacing w:after="0" w:line="259" w:lineRule="auto"/>
              <w:rPr>
                <w:bCs/>
              </w:rPr>
            </w:pPr>
            <w:r>
              <w:rPr>
                <w:b/>
              </w:rPr>
              <w:t xml:space="preserve">Unterrichtseinheit: </w:t>
            </w:r>
            <w:r w:rsidRPr="002034EA">
              <w:rPr>
                <w:bCs/>
              </w:rPr>
              <w:t>„Religionen und Weltanschauungen“</w:t>
            </w:r>
          </w:p>
          <w:p w14:paraId="10B63419" w14:textId="5E357449" w:rsidR="000B142D" w:rsidRPr="00E144D7" w:rsidRDefault="002034EA" w:rsidP="000B142D">
            <w:pPr>
              <w:spacing w:after="0" w:line="259" w:lineRule="auto"/>
              <w:rPr>
                <w:b/>
              </w:rPr>
            </w:pPr>
            <w:r>
              <w:rPr>
                <w:b/>
              </w:rPr>
              <w:t xml:space="preserve">Schwerpunkte: </w:t>
            </w:r>
            <w:r w:rsidRPr="002034EA">
              <w:rPr>
                <w:bCs/>
              </w:rPr>
              <w:t>„Vier Modi der Weltbegegnung“</w:t>
            </w:r>
            <w:r>
              <w:rPr>
                <w:bCs/>
              </w:rPr>
              <w:t xml:space="preserve">; </w:t>
            </w:r>
            <w:r w:rsidRPr="002034EA">
              <w:rPr>
                <w:bCs/>
              </w:rPr>
              <w:t>„Interrelig</w:t>
            </w:r>
            <w:r>
              <w:rPr>
                <w:bCs/>
              </w:rPr>
              <w:t>i</w:t>
            </w:r>
            <w:r w:rsidRPr="002034EA">
              <w:rPr>
                <w:bCs/>
              </w:rPr>
              <w:t>öser Dialog“</w:t>
            </w:r>
            <w:r>
              <w:rPr>
                <w:b/>
              </w:rPr>
              <w:t xml:space="preserve"> </w:t>
            </w:r>
          </w:p>
        </w:tc>
      </w:tr>
    </w:tbl>
    <w:p w14:paraId="0A6E009D" w14:textId="0E786040" w:rsidR="00AA7F83" w:rsidRPr="00C33B11" w:rsidRDefault="00AA7F83" w:rsidP="00C33B11">
      <w:pPr>
        <w:spacing w:after="0"/>
        <w:rPr>
          <w:sz w:val="24"/>
          <w:szCs w:val="24"/>
        </w:rPr>
      </w:pPr>
    </w:p>
    <w:p w14:paraId="3B1138D0" w14:textId="57C6CADF" w:rsidR="00C33B11" w:rsidRPr="00C33B11" w:rsidRDefault="00C33B11" w:rsidP="00C33B11">
      <w:pPr>
        <w:spacing w:after="0"/>
        <w:rPr>
          <w:b/>
          <w:bCs/>
          <w:sz w:val="24"/>
          <w:szCs w:val="24"/>
        </w:rPr>
      </w:pPr>
      <w:r w:rsidRPr="00C33B11">
        <w:rPr>
          <w:b/>
          <w:bCs/>
          <w:sz w:val="24"/>
          <w:szCs w:val="24"/>
          <w:highlight w:val="lightGray"/>
        </w:rPr>
        <w:t>Aufgaben</w:t>
      </w:r>
    </w:p>
    <w:p w14:paraId="4F101036" w14:textId="69DF7768" w:rsidR="002E49A5" w:rsidRDefault="002E49A5" w:rsidP="002E49A5">
      <w:pPr>
        <w:spacing w:after="0"/>
        <w:rPr>
          <w:sz w:val="24"/>
          <w:szCs w:val="24"/>
        </w:rPr>
      </w:pPr>
      <w:r>
        <w:rPr>
          <w:b/>
          <w:bCs/>
          <w:sz w:val="24"/>
          <w:szCs w:val="24"/>
        </w:rPr>
        <w:t>1</w:t>
      </w:r>
      <w:r w:rsidRPr="00987059">
        <w:rPr>
          <w:b/>
          <w:bCs/>
          <w:sz w:val="24"/>
          <w:szCs w:val="24"/>
        </w:rPr>
        <w:t>)</w:t>
      </w:r>
      <w:r w:rsidRPr="00987059">
        <w:rPr>
          <w:sz w:val="24"/>
          <w:szCs w:val="24"/>
        </w:rPr>
        <w:t xml:space="preserve"> </w:t>
      </w:r>
      <w:r>
        <w:rPr>
          <w:sz w:val="24"/>
          <w:szCs w:val="24"/>
        </w:rPr>
        <w:t>Skizzieren Sie die vier Arten der Weltbegegnung des Bildungsforscher</w:t>
      </w:r>
      <w:r w:rsidR="00136190">
        <w:rPr>
          <w:sz w:val="24"/>
          <w:szCs w:val="24"/>
        </w:rPr>
        <w:t>s</w:t>
      </w:r>
      <w:r>
        <w:rPr>
          <w:sz w:val="24"/>
          <w:szCs w:val="24"/>
        </w:rPr>
        <w:t xml:space="preserve"> Jürgen Baumert. </w:t>
      </w:r>
    </w:p>
    <w:p w14:paraId="3F74C591" w14:textId="701152F6" w:rsidR="00F67E58" w:rsidRPr="00987059" w:rsidRDefault="002E49A5" w:rsidP="00F67E58">
      <w:pPr>
        <w:spacing w:after="0"/>
        <w:rPr>
          <w:sz w:val="24"/>
          <w:szCs w:val="24"/>
        </w:rPr>
      </w:pPr>
      <w:r>
        <w:rPr>
          <w:b/>
          <w:bCs/>
          <w:sz w:val="24"/>
          <w:szCs w:val="24"/>
        </w:rPr>
        <w:t>2</w:t>
      </w:r>
      <w:r w:rsidR="00F67E58" w:rsidRPr="00701048">
        <w:rPr>
          <w:b/>
          <w:bCs/>
          <w:sz w:val="24"/>
          <w:szCs w:val="24"/>
        </w:rPr>
        <w:t>)</w:t>
      </w:r>
      <w:r w:rsidR="00F67E58">
        <w:rPr>
          <w:sz w:val="24"/>
          <w:szCs w:val="24"/>
        </w:rPr>
        <w:t xml:space="preserve"> Arbeiten Sie heraus, welche Voraussetzungen Karl Kardinal Lehmann wesentlich für den interreligiösen Dialog hält </w:t>
      </w:r>
      <w:r w:rsidR="00F67E58" w:rsidRPr="002D06E5">
        <w:rPr>
          <w:b/>
          <w:bCs/>
          <w:sz w:val="24"/>
          <w:szCs w:val="24"/>
        </w:rPr>
        <w:t xml:space="preserve">(vgl. </w:t>
      </w:r>
      <w:r w:rsidR="00F67E58">
        <w:rPr>
          <w:b/>
          <w:bCs/>
          <w:sz w:val="24"/>
          <w:szCs w:val="24"/>
        </w:rPr>
        <w:t xml:space="preserve">gesamter Text </w:t>
      </w:r>
      <w:r w:rsidR="00F67E58" w:rsidRPr="002D06E5">
        <w:rPr>
          <w:b/>
          <w:bCs/>
          <w:sz w:val="24"/>
          <w:szCs w:val="24"/>
        </w:rPr>
        <w:t>unten</w:t>
      </w:r>
      <w:r w:rsidR="00F67E58">
        <w:rPr>
          <w:b/>
          <w:bCs/>
          <w:sz w:val="24"/>
          <w:szCs w:val="24"/>
        </w:rPr>
        <w:t>)</w:t>
      </w:r>
      <w:r w:rsidR="00F67E58">
        <w:rPr>
          <w:sz w:val="24"/>
          <w:szCs w:val="24"/>
        </w:rPr>
        <w:t>, und begründen Sie, welche Voraussetzung Sie noch hinzufügen würden.</w:t>
      </w:r>
    </w:p>
    <w:p w14:paraId="5CD1DC63" w14:textId="72160115" w:rsidR="00701048" w:rsidRPr="00484EA5" w:rsidRDefault="00701048" w:rsidP="00C33B11">
      <w:pPr>
        <w:spacing w:after="0"/>
        <w:rPr>
          <w:sz w:val="24"/>
          <w:szCs w:val="24"/>
        </w:rPr>
      </w:pPr>
      <w:r w:rsidRPr="0093045A">
        <w:rPr>
          <w:b/>
          <w:bCs/>
          <w:sz w:val="24"/>
          <w:szCs w:val="24"/>
        </w:rPr>
        <w:t xml:space="preserve">3) </w:t>
      </w:r>
      <w:r w:rsidR="00484EA5" w:rsidRPr="00484EA5">
        <w:rPr>
          <w:sz w:val="24"/>
          <w:szCs w:val="24"/>
        </w:rPr>
        <w:t xml:space="preserve">Karl Kardinal Lehmann schreibt im </w:t>
      </w:r>
      <w:r w:rsidR="00484EA5" w:rsidRPr="00484EA5">
        <w:rPr>
          <w:b/>
          <w:bCs/>
          <w:sz w:val="24"/>
          <w:szCs w:val="24"/>
        </w:rPr>
        <w:t>vorgelegten Text (vgl. Z. 15f.)</w:t>
      </w:r>
      <w:r w:rsidR="00484EA5" w:rsidRPr="00484EA5">
        <w:rPr>
          <w:sz w:val="24"/>
          <w:szCs w:val="24"/>
        </w:rPr>
        <w:t>: „Ich halte einen Dialog unter den Religionen, der die religiöse Frage ausklammert und nur politisch und sozial relevante Themen in Angriff nimmt, für schädlich.“</w:t>
      </w:r>
      <w:r w:rsidR="00484EA5">
        <w:rPr>
          <w:sz w:val="24"/>
          <w:szCs w:val="24"/>
        </w:rPr>
        <w:t xml:space="preserve"> Nehmen Sie Stellung zu dieser Aussage von Karl Kardinal Lehmann.</w:t>
      </w:r>
    </w:p>
    <w:p w14:paraId="08B8B92F" w14:textId="77777777" w:rsidR="00701048" w:rsidRDefault="00701048" w:rsidP="00C33B11">
      <w:pPr>
        <w:spacing w:after="0"/>
        <w:rPr>
          <w:b/>
          <w:bCs/>
          <w:sz w:val="24"/>
          <w:szCs w:val="24"/>
          <w:highlight w:val="lightGray"/>
        </w:rPr>
      </w:pPr>
    </w:p>
    <w:p w14:paraId="0061BC49" w14:textId="7A00B8A6" w:rsidR="00C33B11" w:rsidRDefault="00C33B11" w:rsidP="00C33B11">
      <w:pPr>
        <w:spacing w:after="0"/>
        <w:rPr>
          <w:b/>
          <w:bCs/>
          <w:sz w:val="24"/>
          <w:szCs w:val="24"/>
        </w:rPr>
      </w:pPr>
      <w:r w:rsidRPr="00C33B11">
        <w:rPr>
          <w:b/>
          <w:bCs/>
          <w:sz w:val="24"/>
          <w:szCs w:val="24"/>
          <w:highlight w:val="lightGray"/>
        </w:rPr>
        <w:t>Text</w:t>
      </w:r>
    </w:p>
    <w:p w14:paraId="558ACBB1" w14:textId="39456EFB" w:rsidR="002D06E5" w:rsidRDefault="00987059" w:rsidP="00C33B11">
      <w:pPr>
        <w:spacing w:after="0"/>
        <w:rPr>
          <w:sz w:val="24"/>
          <w:szCs w:val="24"/>
        </w:rPr>
        <w:sectPr w:rsidR="002D06E5" w:rsidSect="002D06E5">
          <w:type w:val="continuous"/>
          <w:pgSz w:w="11906" w:h="16838"/>
          <w:pgMar w:top="284" w:right="1418" w:bottom="284" w:left="1418" w:header="708" w:footer="708" w:gutter="0"/>
          <w:cols w:space="708"/>
          <w:docGrid w:linePitch="360"/>
        </w:sectPr>
      </w:pPr>
      <w:r>
        <w:rPr>
          <w:b/>
          <w:bCs/>
          <w:sz w:val="24"/>
          <w:szCs w:val="24"/>
        </w:rPr>
        <w:t>Karl Kardinal Lehmann (1936-2018), ehemal</w:t>
      </w:r>
      <w:r w:rsidR="0093045A">
        <w:rPr>
          <w:b/>
          <w:bCs/>
          <w:sz w:val="24"/>
          <w:szCs w:val="24"/>
        </w:rPr>
        <w:t>s</w:t>
      </w:r>
      <w:r>
        <w:rPr>
          <w:b/>
          <w:bCs/>
          <w:sz w:val="24"/>
          <w:szCs w:val="24"/>
        </w:rPr>
        <w:t xml:space="preserve"> Vorsitzender der Deutschen Bischofskonferenz</w:t>
      </w:r>
      <w:r w:rsidR="0093045A">
        <w:rPr>
          <w:b/>
          <w:bCs/>
          <w:sz w:val="24"/>
          <w:szCs w:val="24"/>
        </w:rPr>
        <w:t>,</w:t>
      </w:r>
      <w:r>
        <w:rPr>
          <w:b/>
          <w:bCs/>
          <w:sz w:val="24"/>
          <w:szCs w:val="24"/>
        </w:rPr>
        <w:t xml:space="preserve"> äußert</w:t>
      </w:r>
      <w:r w:rsidR="002D06E5">
        <w:rPr>
          <w:b/>
          <w:bCs/>
          <w:sz w:val="24"/>
          <w:szCs w:val="24"/>
        </w:rPr>
        <w:t>e</w:t>
      </w:r>
      <w:r>
        <w:rPr>
          <w:b/>
          <w:bCs/>
          <w:sz w:val="24"/>
          <w:szCs w:val="24"/>
        </w:rPr>
        <w:t xml:space="preserve"> sich in folgender Weise zum interreligiösen Dialog: </w:t>
      </w:r>
    </w:p>
    <w:p w14:paraId="02F5FBC6" w14:textId="7B250056" w:rsidR="00C33B11" w:rsidRDefault="00C33B11" w:rsidP="00C33B11">
      <w:pPr>
        <w:spacing w:after="0"/>
        <w:rPr>
          <w:sz w:val="24"/>
          <w:szCs w:val="24"/>
        </w:rPr>
      </w:pPr>
      <w:r>
        <w:rPr>
          <w:sz w:val="24"/>
          <w:szCs w:val="24"/>
        </w:rPr>
        <w:t xml:space="preserve">Ausführlich geht die Kirche in der Erklärung des 2. Vatikanischen Konzils „Nostra </w:t>
      </w:r>
      <w:proofErr w:type="spellStart"/>
      <w:r>
        <w:rPr>
          <w:sz w:val="24"/>
          <w:szCs w:val="24"/>
        </w:rPr>
        <w:t>aetate</w:t>
      </w:r>
      <w:proofErr w:type="spellEnd"/>
      <w:r>
        <w:rPr>
          <w:sz w:val="24"/>
          <w:szCs w:val="24"/>
        </w:rPr>
        <w:t>“ auf das Verhältnis zu den nicht-christlichen Religionen ein.</w:t>
      </w:r>
      <w:r w:rsidR="000660FD">
        <w:rPr>
          <w:sz w:val="24"/>
          <w:szCs w:val="24"/>
        </w:rPr>
        <w:t xml:space="preserve"> </w:t>
      </w:r>
      <w:r>
        <w:rPr>
          <w:sz w:val="24"/>
          <w:szCs w:val="24"/>
        </w:rPr>
        <w:t xml:space="preserve">Ein Dialog ist nur dann möglich, wenn man sich – unbeschadet aller Unterschiede – zunächst einmal als Ebenbürtiger </w:t>
      </w:r>
      <w:r w:rsidR="000660FD">
        <w:rPr>
          <w:sz w:val="24"/>
          <w:szCs w:val="24"/>
        </w:rPr>
        <w:t>unter Ebenbürtigen akzeptiert. Der Dialog darf nicht durch Machtansprüche welcher Art auch immer verzerrt werden.</w:t>
      </w:r>
    </w:p>
    <w:p w14:paraId="7AAD7BD1" w14:textId="328DD1EE" w:rsidR="000660FD" w:rsidRDefault="000660FD" w:rsidP="00C33B11">
      <w:pPr>
        <w:spacing w:after="0"/>
        <w:rPr>
          <w:sz w:val="24"/>
          <w:szCs w:val="24"/>
        </w:rPr>
      </w:pPr>
      <w:r>
        <w:rPr>
          <w:sz w:val="24"/>
          <w:szCs w:val="24"/>
        </w:rPr>
        <w:t>Es gibt im Dialog freilich ein entscheidendes Element, das vielleicht eher sogar zu den Voraussetzungen des Dialogs gehört. Nach meinem Verständnis ist das Eintreten für eine allseitige Religionsfreiheit und die praktische Verwirklichung dieser Religionsfreiheit ein ganz zentrales und wesentliches Kriterium für jeden interreligiösen Dialog</w:t>
      </w:r>
      <w:r w:rsidR="0096425D">
        <w:rPr>
          <w:sz w:val="24"/>
          <w:szCs w:val="24"/>
        </w:rPr>
        <w:t>, und dies im Sinne der negativen und positiven Religionsfreiheit.</w:t>
      </w:r>
    </w:p>
    <w:p w14:paraId="34B9BDFF" w14:textId="73460EF3" w:rsidR="000660FD" w:rsidRDefault="000660FD" w:rsidP="00C33B11">
      <w:pPr>
        <w:spacing w:after="0"/>
        <w:rPr>
          <w:sz w:val="24"/>
          <w:szCs w:val="24"/>
        </w:rPr>
      </w:pPr>
      <w:r>
        <w:rPr>
          <w:sz w:val="24"/>
          <w:szCs w:val="24"/>
        </w:rPr>
        <w:t xml:space="preserve">Die moralische Pflicht des Einzelnen, den wahren Glauben zu suchen und anzunehmen, wird </w:t>
      </w:r>
      <w:r w:rsidR="00F14F05">
        <w:rPr>
          <w:sz w:val="24"/>
          <w:szCs w:val="24"/>
        </w:rPr>
        <w:t>durch die Gewährung der Religionsfreiheit keineswegs aufgehoben und relativiert, sondern lediglich von den Eingriffsmöglichkeiten staatlicher Gewalt kategorisch</w:t>
      </w:r>
      <w:r w:rsidR="0096425D">
        <w:rPr>
          <w:sz w:val="24"/>
          <w:szCs w:val="24"/>
        </w:rPr>
        <w:t xml:space="preserve"> geschieden und gegen sie gesichert.</w:t>
      </w:r>
    </w:p>
    <w:p w14:paraId="68AEEBC8" w14:textId="50BA04C9" w:rsidR="002D06E5" w:rsidRDefault="0096425D" w:rsidP="00C33B11">
      <w:pPr>
        <w:spacing w:after="0"/>
        <w:rPr>
          <w:sz w:val="24"/>
          <w:szCs w:val="24"/>
        </w:rPr>
        <w:sectPr w:rsidR="002D06E5" w:rsidSect="002D06E5">
          <w:type w:val="continuous"/>
          <w:pgSz w:w="11906" w:h="16838"/>
          <w:pgMar w:top="284" w:right="1418" w:bottom="284" w:left="1418" w:header="709" w:footer="709" w:gutter="0"/>
          <w:lnNumType w:countBy="5" w:restart="continuous"/>
          <w:cols w:space="708"/>
          <w:docGrid w:linePitch="360"/>
        </w:sectPr>
      </w:pPr>
      <w:r>
        <w:rPr>
          <w:sz w:val="24"/>
          <w:szCs w:val="24"/>
        </w:rPr>
        <w:t xml:space="preserve">Ich halte einen Dialog unter den Religionen, der die religiöse </w:t>
      </w:r>
      <w:r w:rsidR="00486CAC">
        <w:rPr>
          <w:sz w:val="24"/>
          <w:szCs w:val="24"/>
        </w:rPr>
        <w:t>F</w:t>
      </w:r>
      <w:r>
        <w:rPr>
          <w:sz w:val="24"/>
          <w:szCs w:val="24"/>
        </w:rPr>
        <w:t xml:space="preserve">rage ausklammert und nur politisch und sozial relevante Themen in Angriff nimmt, für schädlich. Es wäre geradezu paradox, wenn der interreligiöse Dialog sich um alles kümmern würde, aber nicht um die Suche nach Wahrheit und die Erfüllung </w:t>
      </w:r>
      <w:r w:rsidR="00EE49FD">
        <w:rPr>
          <w:sz w:val="24"/>
          <w:szCs w:val="24"/>
        </w:rPr>
        <w:t>dieses Suchens im Glauben an Gott.</w:t>
      </w:r>
    </w:p>
    <w:p w14:paraId="1330D131" w14:textId="77777777" w:rsidR="00136190" w:rsidRDefault="00136190" w:rsidP="00C33B11">
      <w:pPr>
        <w:spacing w:after="0"/>
        <w:rPr>
          <w:sz w:val="24"/>
          <w:szCs w:val="24"/>
        </w:rPr>
      </w:pPr>
      <w:bookmarkStart w:id="0" w:name="_Hlk52616037"/>
    </w:p>
    <w:p w14:paraId="65B131D1" w14:textId="3CF4B782" w:rsidR="00484EA5" w:rsidRDefault="00EE49FD" w:rsidP="00C33B11">
      <w:pPr>
        <w:spacing w:after="0"/>
        <w:rPr>
          <w:sz w:val="20"/>
          <w:szCs w:val="20"/>
        </w:rPr>
      </w:pPr>
      <w:r w:rsidRPr="00EE49FD">
        <w:rPr>
          <w:b/>
          <w:bCs/>
          <w:sz w:val="20"/>
          <w:szCs w:val="20"/>
        </w:rPr>
        <w:t>K</w:t>
      </w:r>
      <w:r w:rsidR="00CA35DF">
        <w:rPr>
          <w:b/>
          <w:bCs/>
          <w:sz w:val="20"/>
          <w:szCs w:val="20"/>
        </w:rPr>
        <w:t xml:space="preserve">arl </w:t>
      </w:r>
      <w:r w:rsidRPr="00EE49FD">
        <w:rPr>
          <w:b/>
          <w:bCs/>
          <w:sz w:val="20"/>
          <w:szCs w:val="20"/>
        </w:rPr>
        <w:t>Kardinal Lehmann.</w:t>
      </w:r>
      <w:r w:rsidRPr="00EE49FD">
        <w:rPr>
          <w:sz w:val="20"/>
          <w:szCs w:val="20"/>
        </w:rPr>
        <w:t xml:space="preserve"> Dialog ohne Machtanspruch. In: U. J. Wenzel (</w:t>
      </w:r>
      <w:proofErr w:type="spellStart"/>
      <w:r w:rsidRPr="00EE49FD">
        <w:rPr>
          <w:sz w:val="20"/>
          <w:szCs w:val="20"/>
        </w:rPr>
        <w:t>Hg</w:t>
      </w:r>
      <w:proofErr w:type="spellEnd"/>
      <w:r w:rsidRPr="00EE49FD">
        <w:rPr>
          <w:sz w:val="20"/>
          <w:szCs w:val="20"/>
        </w:rPr>
        <w:t>.). Was ist eine gute Religion? Zwanzig Antworten. München: C. H. Beck Verlag 2007. S. 21-25 (für Prüfungszwecke bearbeitet)</w:t>
      </w:r>
      <w:r w:rsidR="00987059">
        <w:rPr>
          <w:sz w:val="20"/>
          <w:szCs w:val="20"/>
        </w:rPr>
        <w:t>.</w:t>
      </w:r>
    </w:p>
    <w:bookmarkEnd w:id="0"/>
    <w:p w14:paraId="3B88BF12" w14:textId="77777777" w:rsidR="00484EA5" w:rsidRDefault="00484EA5">
      <w:pPr>
        <w:spacing w:after="160" w:line="259" w:lineRule="auto"/>
        <w:rPr>
          <w:sz w:val="20"/>
          <w:szCs w:val="20"/>
        </w:rPr>
      </w:pPr>
      <w:r>
        <w:rPr>
          <w:sz w:val="20"/>
          <w:szCs w:val="20"/>
        </w:rPr>
        <w:br w:type="page"/>
      </w:r>
    </w:p>
    <w:p w14:paraId="6713111F" w14:textId="2EC10C13" w:rsidR="00EE49FD" w:rsidRPr="005753FB" w:rsidRDefault="00484EA5" w:rsidP="00475000">
      <w:pPr>
        <w:spacing w:after="0" w:line="240" w:lineRule="auto"/>
        <w:rPr>
          <w:b/>
          <w:bCs/>
          <w:sz w:val="20"/>
          <w:szCs w:val="20"/>
        </w:rPr>
      </w:pPr>
      <w:r w:rsidRPr="005753FB">
        <w:rPr>
          <w:b/>
          <w:bCs/>
          <w:sz w:val="20"/>
          <w:szCs w:val="20"/>
          <w:highlight w:val="lightGray"/>
        </w:rPr>
        <w:lastRenderedPageBreak/>
        <w:t>Erwartungshorizont zu den Aufgaben:</w:t>
      </w:r>
      <w:r w:rsidRPr="005753FB">
        <w:rPr>
          <w:b/>
          <w:bCs/>
          <w:sz w:val="20"/>
          <w:szCs w:val="20"/>
        </w:rPr>
        <w:t xml:space="preserve"> </w:t>
      </w:r>
    </w:p>
    <w:p w14:paraId="59A9328A" w14:textId="75A4184C" w:rsidR="00484EA5" w:rsidRDefault="00484EA5" w:rsidP="00475000">
      <w:pPr>
        <w:spacing w:after="0" w:line="240" w:lineRule="auto"/>
        <w:rPr>
          <w:rFonts w:cstheme="minorHAnsi"/>
          <w:b/>
          <w:sz w:val="20"/>
          <w:szCs w:val="20"/>
        </w:rPr>
      </w:pPr>
    </w:p>
    <w:p w14:paraId="176F9DC6" w14:textId="3C84AB21" w:rsidR="002E49A5" w:rsidRDefault="002E49A5" w:rsidP="002E49A5">
      <w:pPr>
        <w:spacing w:after="0" w:line="240" w:lineRule="auto"/>
        <w:rPr>
          <w:rFonts w:cstheme="minorHAnsi"/>
          <w:b/>
          <w:sz w:val="20"/>
          <w:szCs w:val="20"/>
        </w:rPr>
      </w:pPr>
      <w:r w:rsidRPr="005753FB">
        <w:rPr>
          <w:rFonts w:cstheme="minorHAnsi"/>
          <w:b/>
          <w:sz w:val="20"/>
          <w:szCs w:val="20"/>
        </w:rPr>
        <w:t xml:space="preserve">Aufgabe </w:t>
      </w:r>
      <w:r>
        <w:rPr>
          <w:rFonts w:cstheme="minorHAnsi"/>
          <w:b/>
          <w:sz w:val="20"/>
          <w:szCs w:val="20"/>
        </w:rPr>
        <w:t xml:space="preserve">1: </w:t>
      </w:r>
    </w:p>
    <w:p w14:paraId="30047B83" w14:textId="77777777" w:rsidR="002E49A5" w:rsidRPr="008734ED" w:rsidRDefault="002E49A5" w:rsidP="002E49A5">
      <w:pPr>
        <w:pStyle w:val="Listenabsatz"/>
        <w:numPr>
          <w:ilvl w:val="0"/>
          <w:numId w:val="6"/>
        </w:numPr>
        <w:spacing w:after="0" w:line="240" w:lineRule="auto"/>
        <w:rPr>
          <w:bCs/>
          <w:sz w:val="20"/>
          <w:szCs w:val="20"/>
        </w:rPr>
      </w:pPr>
      <w:r w:rsidRPr="008734ED">
        <w:rPr>
          <w:bCs/>
          <w:sz w:val="20"/>
          <w:szCs w:val="20"/>
        </w:rPr>
        <w:t>Operator „Skizzieren“: AFB I; Reproduktion von er-/bekanntem Sachverhalt in Grundzügen</w:t>
      </w:r>
    </w:p>
    <w:p w14:paraId="37032E7A" w14:textId="77777777" w:rsidR="002E49A5" w:rsidRPr="008734ED" w:rsidRDefault="002E49A5" w:rsidP="002E49A5">
      <w:pPr>
        <w:pStyle w:val="Listenabsatz"/>
        <w:numPr>
          <w:ilvl w:val="0"/>
          <w:numId w:val="6"/>
        </w:numPr>
        <w:spacing w:after="0"/>
        <w:rPr>
          <w:iCs/>
          <w:sz w:val="20"/>
          <w:szCs w:val="20"/>
        </w:rPr>
      </w:pPr>
      <w:r w:rsidRPr="00D55BE5">
        <w:rPr>
          <w:sz w:val="20"/>
          <w:szCs w:val="20"/>
        </w:rPr>
        <w:t>Zugang zur Welt durch Geschichte, Politik</w:t>
      </w:r>
      <w:r>
        <w:rPr>
          <w:sz w:val="20"/>
          <w:szCs w:val="20"/>
        </w:rPr>
        <w:t xml:space="preserve">: </w:t>
      </w:r>
      <w:r w:rsidRPr="00D55BE5">
        <w:rPr>
          <w:sz w:val="20"/>
          <w:szCs w:val="20"/>
        </w:rPr>
        <w:t>normativ-evaluativ genannt</w:t>
      </w:r>
      <w:r>
        <w:rPr>
          <w:sz w:val="20"/>
          <w:szCs w:val="20"/>
        </w:rPr>
        <w:t xml:space="preserve">, </w:t>
      </w:r>
      <w:r w:rsidRPr="008734ED">
        <w:rPr>
          <w:iCs/>
          <w:sz w:val="20"/>
          <w:szCs w:val="20"/>
        </w:rPr>
        <w:t>weil es darum geht, Gesetzmäßigkeiten in der Geschichte und Politik zu erkennen und daraus Normen für Individuum und Gesellschaft abzuleiten</w:t>
      </w:r>
    </w:p>
    <w:p w14:paraId="101AC8A7" w14:textId="77777777" w:rsidR="002E49A5" w:rsidRPr="008734ED" w:rsidRDefault="002E49A5" w:rsidP="002E49A5">
      <w:pPr>
        <w:pStyle w:val="Listenabsatz"/>
        <w:numPr>
          <w:ilvl w:val="0"/>
          <w:numId w:val="6"/>
        </w:numPr>
        <w:spacing w:after="0"/>
        <w:rPr>
          <w:iCs/>
          <w:sz w:val="20"/>
          <w:szCs w:val="20"/>
        </w:rPr>
      </w:pPr>
      <w:r w:rsidRPr="008734ED">
        <w:rPr>
          <w:iCs/>
          <w:sz w:val="20"/>
          <w:szCs w:val="20"/>
        </w:rPr>
        <w:t>Zugang zur Welt durch Sprache, Musik, Kunst</w:t>
      </w:r>
      <w:r>
        <w:rPr>
          <w:iCs/>
          <w:sz w:val="20"/>
          <w:szCs w:val="20"/>
        </w:rPr>
        <w:t xml:space="preserve">: </w:t>
      </w:r>
      <w:r w:rsidRPr="008734ED">
        <w:rPr>
          <w:iCs/>
          <w:sz w:val="20"/>
          <w:szCs w:val="20"/>
        </w:rPr>
        <w:t>ästhetisch-expressiv genannt</w:t>
      </w:r>
      <w:r>
        <w:rPr>
          <w:iCs/>
          <w:sz w:val="20"/>
          <w:szCs w:val="20"/>
        </w:rPr>
        <w:t xml:space="preserve">, </w:t>
      </w:r>
      <w:r w:rsidRPr="008734ED">
        <w:rPr>
          <w:iCs/>
          <w:sz w:val="20"/>
          <w:szCs w:val="20"/>
        </w:rPr>
        <w:t xml:space="preserve">weil es darum geht, die Wirklichkeit zu erleben und zu deuten und für diese Deutung einen gestalteten Ausdruck zu finden </w:t>
      </w:r>
    </w:p>
    <w:p w14:paraId="6E906956" w14:textId="77777777" w:rsidR="002E49A5" w:rsidRPr="008734ED" w:rsidRDefault="002E49A5" w:rsidP="002E49A5">
      <w:pPr>
        <w:pStyle w:val="Listenabsatz"/>
        <w:numPr>
          <w:ilvl w:val="0"/>
          <w:numId w:val="6"/>
        </w:numPr>
        <w:spacing w:after="0"/>
        <w:rPr>
          <w:iCs/>
          <w:sz w:val="20"/>
          <w:szCs w:val="20"/>
        </w:rPr>
      </w:pPr>
      <w:r w:rsidRPr="008734ED">
        <w:rPr>
          <w:iCs/>
          <w:sz w:val="20"/>
          <w:szCs w:val="20"/>
        </w:rPr>
        <w:t>Zugang zur Welt durch Mathematik und Naturwissenschaften</w:t>
      </w:r>
      <w:r>
        <w:rPr>
          <w:iCs/>
          <w:sz w:val="20"/>
          <w:szCs w:val="20"/>
        </w:rPr>
        <w:t xml:space="preserve">: </w:t>
      </w:r>
      <w:r w:rsidRPr="008734ED">
        <w:rPr>
          <w:iCs/>
          <w:sz w:val="20"/>
          <w:szCs w:val="20"/>
        </w:rPr>
        <w:t>kognitive Rationalität genannt</w:t>
      </w:r>
      <w:r>
        <w:rPr>
          <w:iCs/>
          <w:sz w:val="20"/>
          <w:szCs w:val="20"/>
        </w:rPr>
        <w:t xml:space="preserve">, </w:t>
      </w:r>
      <w:r w:rsidRPr="008734ED">
        <w:rPr>
          <w:iCs/>
          <w:sz w:val="20"/>
          <w:szCs w:val="20"/>
        </w:rPr>
        <w:t>weil es darum geht</w:t>
      </w:r>
      <w:r>
        <w:rPr>
          <w:iCs/>
          <w:sz w:val="20"/>
          <w:szCs w:val="20"/>
        </w:rPr>
        <w:t>,</w:t>
      </w:r>
      <w:r w:rsidRPr="008734ED">
        <w:rPr>
          <w:iCs/>
          <w:sz w:val="20"/>
          <w:szCs w:val="20"/>
        </w:rPr>
        <w:t xml:space="preserve"> Wirkzusammenhänge unserer Natur/Umwelt statistisch zu erfassen und aufgrund dessen Welt/Natur instrumentell beherrschen zu können</w:t>
      </w:r>
    </w:p>
    <w:p w14:paraId="3525EAB3" w14:textId="77777777" w:rsidR="002E49A5" w:rsidRPr="008734ED" w:rsidRDefault="002E49A5" w:rsidP="002E49A5">
      <w:pPr>
        <w:pStyle w:val="Listenabsatz"/>
        <w:numPr>
          <w:ilvl w:val="0"/>
          <w:numId w:val="6"/>
        </w:numPr>
        <w:spacing w:after="0"/>
        <w:rPr>
          <w:iCs/>
          <w:sz w:val="20"/>
          <w:szCs w:val="20"/>
        </w:rPr>
      </w:pPr>
      <w:r w:rsidRPr="008734ED">
        <w:rPr>
          <w:iCs/>
          <w:sz w:val="20"/>
          <w:szCs w:val="20"/>
        </w:rPr>
        <w:t>Zugang zur Welt durch Religion und Philosophie</w:t>
      </w:r>
      <w:r>
        <w:rPr>
          <w:iCs/>
          <w:sz w:val="20"/>
          <w:szCs w:val="20"/>
        </w:rPr>
        <w:t xml:space="preserve">: </w:t>
      </w:r>
      <w:r w:rsidRPr="008734ED">
        <w:rPr>
          <w:iCs/>
          <w:sz w:val="20"/>
          <w:szCs w:val="20"/>
        </w:rPr>
        <w:t>konstitutiv genannt</w:t>
      </w:r>
      <w:r>
        <w:rPr>
          <w:iCs/>
          <w:sz w:val="20"/>
          <w:szCs w:val="20"/>
        </w:rPr>
        <w:t xml:space="preserve">, </w:t>
      </w:r>
      <w:r w:rsidRPr="008734ED">
        <w:rPr>
          <w:iCs/>
          <w:sz w:val="20"/>
          <w:szCs w:val="20"/>
        </w:rPr>
        <w:t>weil es darum geht, durch letztgültige Fragen nach dem Woher, Warum und Wohin den Dingen auf den Grund zu gehen</w:t>
      </w:r>
    </w:p>
    <w:p w14:paraId="1FF51B47" w14:textId="77777777" w:rsidR="002E49A5" w:rsidRDefault="002E49A5" w:rsidP="00F347A6">
      <w:pPr>
        <w:pStyle w:val="Kommentartext"/>
        <w:spacing w:after="0"/>
        <w:rPr>
          <w:b/>
          <w:bCs/>
        </w:rPr>
      </w:pPr>
    </w:p>
    <w:p w14:paraId="4BAB526D" w14:textId="1BA62DB0" w:rsidR="00F347A6" w:rsidRPr="005753FB" w:rsidRDefault="00F347A6" w:rsidP="00F347A6">
      <w:pPr>
        <w:pStyle w:val="Kommentartext"/>
        <w:spacing w:after="0"/>
        <w:rPr>
          <w:b/>
          <w:bCs/>
        </w:rPr>
      </w:pPr>
      <w:r w:rsidRPr="005753FB">
        <w:rPr>
          <w:b/>
          <w:bCs/>
        </w:rPr>
        <w:t xml:space="preserve">Aufgabe </w:t>
      </w:r>
      <w:r w:rsidR="002E49A5">
        <w:rPr>
          <w:b/>
          <w:bCs/>
        </w:rPr>
        <w:t>2</w:t>
      </w:r>
      <w:r w:rsidRPr="005753FB">
        <w:rPr>
          <w:b/>
          <w:bCs/>
        </w:rPr>
        <w:t xml:space="preserve">/Teil 1 </w:t>
      </w:r>
    </w:p>
    <w:p w14:paraId="06860A73" w14:textId="77777777" w:rsidR="00F347A6" w:rsidRPr="005753FB" w:rsidRDefault="00F347A6" w:rsidP="00F347A6">
      <w:pPr>
        <w:pStyle w:val="Kommentartext"/>
        <w:numPr>
          <w:ilvl w:val="0"/>
          <w:numId w:val="2"/>
        </w:numPr>
        <w:spacing w:after="0"/>
      </w:pPr>
      <w:r w:rsidRPr="005753FB">
        <w:t xml:space="preserve">Operator „Aufzeigen“: AFB II, Textverständnis zu einer bestimmten Fragestellung; sehr gut, wenn passende Textbelege. </w:t>
      </w:r>
    </w:p>
    <w:p w14:paraId="5F4B9200" w14:textId="77777777" w:rsidR="00F347A6" w:rsidRPr="005753FB" w:rsidRDefault="00F347A6" w:rsidP="00F347A6">
      <w:pPr>
        <w:pStyle w:val="Kommentartext"/>
        <w:numPr>
          <w:ilvl w:val="0"/>
          <w:numId w:val="2"/>
        </w:numPr>
        <w:spacing w:after="0"/>
      </w:pPr>
      <w:r w:rsidRPr="005753FB">
        <w:t>Voraussetzungen, die Lehmann für notwendig für interreligiösen Dialog hält</w:t>
      </w:r>
    </w:p>
    <w:p w14:paraId="712CFAFD" w14:textId="77777777" w:rsidR="00F347A6" w:rsidRPr="005753FB" w:rsidRDefault="00F347A6" w:rsidP="00F347A6">
      <w:pPr>
        <w:pStyle w:val="Listenabsatz"/>
        <w:spacing w:after="0" w:line="240" w:lineRule="auto"/>
        <w:rPr>
          <w:bCs/>
          <w:sz w:val="20"/>
          <w:szCs w:val="20"/>
        </w:rPr>
      </w:pPr>
      <w:r w:rsidRPr="005753FB">
        <w:rPr>
          <w:b/>
          <w:sz w:val="20"/>
          <w:szCs w:val="20"/>
        </w:rPr>
        <w:t>a)</w:t>
      </w:r>
      <w:r w:rsidRPr="005753FB">
        <w:rPr>
          <w:bCs/>
          <w:sz w:val="20"/>
          <w:szCs w:val="20"/>
        </w:rPr>
        <w:t xml:space="preserve"> Anerkenntnis der Dialogpartner im interreligiösen Dialog als ebenbürtig (vgl. Z. 4).</w:t>
      </w:r>
    </w:p>
    <w:p w14:paraId="65A5B8D0" w14:textId="77777777" w:rsidR="00F347A6" w:rsidRPr="005753FB" w:rsidRDefault="00F347A6" w:rsidP="00F347A6">
      <w:pPr>
        <w:pStyle w:val="Listenabsatz"/>
        <w:spacing w:after="0" w:line="240" w:lineRule="auto"/>
        <w:rPr>
          <w:bCs/>
          <w:sz w:val="20"/>
          <w:szCs w:val="20"/>
        </w:rPr>
      </w:pPr>
      <w:r w:rsidRPr="005753FB">
        <w:rPr>
          <w:b/>
          <w:sz w:val="20"/>
          <w:szCs w:val="20"/>
        </w:rPr>
        <w:t>b)</w:t>
      </w:r>
      <w:r w:rsidRPr="005753FB">
        <w:rPr>
          <w:bCs/>
          <w:sz w:val="20"/>
          <w:szCs w:val="20"/>
        </w:rPr>
        <w:t xml:space="preserve"> Machtansprüche dürfen keine Leitlinie sein (vgl. Z. 4f.).</w:t>
      </w:r>
    </w:p>
    <w:p w14:paraId="21AFFBF9" w14:textId="77777777" w:rsidR="00F347A6" w:rsidRPr="005753FB" w:rsidRDefault="00F347A6" w:rsidP="00F347A6">
      <w:pPr>
        <w:pStyle w:val="Listenabsatz"/>
        <w:spacing w:after="0" w:line="240" w:lineRule="auto"/>
        <w:rPr>
          <w:bCs/>
          <w:sz w:val="20"/>
          <w:szCs w:val="20"/>
        </w:rPr>
      </w:pPr>
      <w:r w:rsidRPr="005753FB">
        <w:rPr>
          <w:b/>
          <w:sz w:val="20"/>
          <w:szCs w:val="20"/>
        </w:rPr>
        <w:t>c)</w:t>
      </w:r>
      <w:r w:rsidRPr="005753FB">
        <w:rPr>
          <w:bCs/>
          <w:sz w:val="20"/>
          <w:szCs w:val="20"/>
        </w:rPr>
        <w:t xml:space="preserve"> Eintreten für die positive und negative Religionsfreiheit und praktischen Umsetzung dieser (vgl. Z. 8-10) mit der Begründung der Verhinderung von staatlichem Zugriff auf dieses Grundrecht (vgl. Z. 14f.).</w:t>
      </w:r>
    </w:p>
    <w:p w14:paraId="77625552" w14:textId="77777777" w:rsidR="00F347A6" w:rsidRPr="005753FB" w:rsidRDefault="00F347A6" w:rsidP="00F347A6">
      <w:pPr>
        <w:pStyle w:val="Listenabsatz"/>
        <w:spacing w:after="0" w:line="240" w:lineRule="auto"/>
        <w:rPr>
          <w:bCs/>
          <w:sz w:val="20"/>
          <w:szCs w:val="20"/>
        </w:rPr>
      </w:pPr>
      <w:r w:rsidRPr="005753FB">
        <w:rPr>
          <w:b/>
          <w:sz w:val="20"/>
          <w:szCs w:val="20"/>
        </w:rPr>
        <w:t>d)</w:t>
      </w:r>
      <w:r w:rsidRPr="005753FB">
        <w:rPr>
          <w:bCs/>
          <w:sz w:val="20"/>
          <w:szCs w:val="20"/>
        </w:rPr>
        <w:t xml:space="preserve"> nicht nur Suche nach gemeinsamen sozialen und politischen Anliegen (vgl. Z. 16), </w:t>
      </w:r>
    </w:p>
    <w:p w14:paraId="12703123" w14:textId="77777777" w:rsidR="00F347A6" w:rsidRPr="005753FB" w:rsidRDefault="00F347A6" w:rsidP="00F347A6">
      <w:pPr>
        <w:pStyle w:val="Listenabsatz"/>
        <w:spacing w:after="0" w:line="240" w:lineRule="auto"/>
        <w:rPr>
          <w:bCs/>
          <w:sz w:val="20"/>
          <w:szCs w:val="20"/>
        </w:rPr>
      </w:pPr>
      <w:r w:rsidRPr="005753FB">
        <w:rPr>
          <w:b/>
          <w:sz w:val="20"/>
          <w:szCs w:val="20"/>
        </w:rPr>
        <w:t>e)</w:t>
      </w:r>
      <w:r w:rsidRPr="005753FB">
        <w:rPr>
          <w:bCs/>
          <w:sz w:val="20"/>
          <w:szCs w:val="20"/>
        </w:rPr>
        <w:t xml:space="preserve"> sondern auch Auseinandersetzung mit unterschiedlichen religiösen Wahrheiten in den verschiedenen Religionen (vgl. Z. 15 u. 18).</w:t>
      </w:r>
    </w:p>
    <w:p w14:paraId="3F84D124" w14:textId="77777777" w:rsidR="002E49A5" w:rsidRDefault="002E49A5" w:rsidP="00F347A6">
      <w:pPr>
        <w:pStyle w:val="Kommentartext"/>
        <w:spacing w:after="0"/>
        <w:rPr>
          <w:b/>
          <w:bCs/>
        </w:rPr>
      </w:pPr>
    </w:p>
    <w:p w14:paraId="7BB69F35" w14:textId="03CA5A57" w:rsidR="00F347A6" w:rsidRPr="005753FB" w:rsidRDefault="00F347A6" w:rsidP="00F347A6">
      <w:pPr>
        <w:pStyle w:val="Kommentartext"/>
        <w:spacing w:after="0"/>
        <w:rPr>
          <w:b/>
          <w:bCs/>
        </w:rPr>
      </w:pPr>
      <w:r w:rsidRPr="005753FB">
        <w:rPr>
          <w:b/>
          <w:bCs/>
        </w:rPr>
        <w:t xml:space="preserve">Aufgabe </w:t>
      </w:r>
      <w:r w:rsidR="002E49A5">
        <w:rPr>
          <w:b/>
          <w:bCs/>
        </w:rPr>
        <w:t>2</w:t>
      </w:r>
      <w:r w:rsidRPr="005753FB">
        <w:rPr>
          <w:b/>
          <w:bCs/>
        </w:rPr>
        <w:t xml:space="preserve">/Teil 2 </w:t>
      </w:r>
    </w:p>
    <w:p w14:paraId="28069D15" w14:textId="77777777" w:rsidR="00F347A6" w:rsidRPr="005753FB" w:rsidRDefault="00F347A6" w:rsidP="00F347A6">
      <w:pPr>
        <w:pStyle w:val="Kommentartext"/>
        <w:numPr>
          <w:ilvl w:val="0"/>
          <w:numId w:val="4"/>
        </w:numPr>
        <w:spacing w:after="0"/>
      </w:pPr>
      <w:r w:rsidRPr="005753FB">
        <w:t>Operator „Begründen“: AFB II-III (hier); eigene Idee für Voraussetzung für interreligiösen Dialog argumentativ stützen.</w:t>
      </w:r>
    </w:p>
    <w:p w14:paraId="20C4E69A" w14:textId="77777777" w:rsidR="00F347A6" w:rsidRPr="005753FB" w:rsidRDefault="00F347A6" w:rsidP="00F347A6">
      <w:pPr>
        <w:pStyle w:val="Listenabsatz"/>
        <w:numPr>
          <w:ilvl w:val="0"/>
          <w:numId w:val="4"/>
        </w:numPr>
        <w:spacing w:after="0" w:line="240" w:lineRule="auto"/>
        <w:rPr>
          <w:bCs/>
          <w:sz w:val="20"/>
          <w:szCs w:val="20"/>
        </w:rPr>
      </w:pPr>
      <w:r w:rsidRPr="005753FB">
        <w:rPr>
          <w:bCs/>
          <w:sz w:val="20"/>
          <w:szCs w:val="20"/>
        </w:rPr>
        <w:t xml:space="preserve">Zum Beispiel könnten als weitere Voraussetzungen genannt werden: Sympathie zwischen Menschen; gemeinsame Interessen; Mut, sich auch über Religion zu unterhalten; Toleranz/Respekt vor der Andersartigkeit von Menschen. </w:t>
      </w:r>
    </w:p>
    <w:p w14:paraId="3CCF6FB9" w14:textId="77777777" w:rsidR="00F347A6" w:rsidRPr="005753FB" w:rsidRDefault="00F347A6" w:rsidP="00F347A6">
      <w:pPr>
        <w:pStyle w:val="Listenabsatz"/>
        <w:numPr>
          <w:ilvl w:val="0"/>
          <w:numId w:val="4"/>
        </w:numPr>
        <w:spacing w:after="0" w:line="240" w:lineRule="auto"/>
        <w:rPr>
          <w:bCs/>
          <w:sz w:val="20"/>
          <w:szCs w:val="20"/>
        </w:rPr>
      </w:pPr>
      <w:r w:rsidRPr="005753FB">
        <w:rPr>
          <w:bCs/>
          <w:sz w:val="20"/>
          <w:szCs w:val="20"/>
        </w:rPr>
        <w:t xml:space="preserve">Zum Beispiel könnte als Begründung zu „Sympathie und gemeinsame Interessen“ als Argument genannt werden, dass man sich erst menschlich in umfänglichen Sinn kennenlernen muss, um dann den Mut aufzubringen, über religiöse Gemeinsamkeiten und Differenzen zu sprechen. </w:t>
      </w:r>
    </w:p>
    <w:p w14:paraId="3345070F" w14:textId="7A2C9034" w:rsidR="00F347A6" w:rsidRDefault="00F347A6" w:rsidP="00475000">
      <w:pPr>
        <w:spacing w:after="0" w:line="240" w:lineRule="auto"/>
        <w:rPr>
          <w:rFonts w:cstheme="minorHAnsi"/>
          <w:b/>
          <w:sz w:val="20"/>
          <w:szCs w:val="20"/>
        </w:rPr>
      </w:pPr>
    </w:p>
    <w:p w14:paraId="1A748BB0" w14:textId="0D16DCCC" w:rsidR="00472310" w:rsidRPr="005753FB" w:rsidRDefault="00472310" w:rsidP="00472310">
      <w:pPr>
        <w:spacing w:after="0" w:line="240" w:lineRule="auto"/>
        <w:rPr>
          <w:b/>
          <w:sz w:val="20"/>
          <w:szCs w:val="20"/>
        </w:rPr>
      </w:pPr>
      <w:r w:rsidRPr="005753FB">
        <w:rPr>
          <w:b/>
          <w:sz w:val="20"/>
          <w:szCs w:val="20"/>
        </w:rPr>
        <w:t>Aufgabe 3</w:t>
      </w:r>
    </w:p>
    <w:p w14:paraId="412140B9" w14:textId="2381EE64" w:rsidR="00472310" w:rsidRPr="005753FB" w:rsidRDefault="00472310" w:rsidP="00472310">
      <w:pPr>
        <w:pStyle w:val="Listenabsatz"/>
        <w:numPr>
          <w:ilvl w:val="0"/>
          <w:numId w:val="5"/>
        </w:numPr>
        <w:spacing w:after="0" w:line="240" w:lineRule="auto"/>
        <w:rPr>
          <w:bCs/>
          <w:sz w:val="20"/>
          <w:szCs w:val="20"/>
        </w:rPr>
      </w:pPr>
      <w:r w:rsidRPr="005753FB">
        <w:rPr>
          <w:bCs/>
          <w:sz w:val="20"/>
          <w:szCs w:val="20"/>
        </w:rPr>
        <w:t>Operator „Stellung nehmen“: AFB III; begründete Positionierung mit Fachwissen verbunden</w:t>
      </w:r>
    </w:p>
    <w:p w14:paraId="4AA33457" w14:textId="245AF09E" w:rsidR="00472310" w:rsidRPr="005753FB" w:rsidRDefault="00472310" w:rsidP="00472310">
      <w:pPr>
        <w:pStyle w:val="Listenabsatz"/>
        <w:numPr>
          <w:ilvl w:val="0"/>
          <w:numId w:val="5"/>
        </w:numPr>
        <w:spacing w:after="0" w:line="240" w:lineRule="auto"/>
        <w:rPr>
          <w:bCs/>
          <w:sz w:val="20"/>
          <w:szCs w:val="20"/>
        </w:rPr>
      </w:pPr>
      <w:r w:rsidRPr="005753FB">
        <w:rPr>
          <w:bCs/>
          <w:sz w:val="20"/>
          <w:szCs w:val="20"/>
        </w:rPr>
        <w:t xml:space="preserve">PRO </w:t>
      </w:r>
      <w:r w:rsidR="005753FB" w:rsidRPr="005753FB">
        <w:rPr>
          <w:bCs/>
          <w:sz w:val="20"/>
          <w:szCs w:val="20"/>
        </w:rPr>
        <w:t xml:space="preserve">die </w:t>
      </w:r>
      <w:r w:rsidRPr="005753FB">
        <w:rPr>
          <w:bCs/>
          <w:sz w:val="20"/>
          <w:szCs w:val="20"/>
        </w:rPr>
        <w:t xml:space="preserve">Argumentation </w:t>
      </w:r>
      <w:r w:rsidR="005753FB" w:rsidRPr="005753FB">
        <w:rPr>
          <w:bCs/>
          <w:sz w:val="20"/>
          <w:szCs w:val="20"/>
        </w:rPr>
        <w:t xml:space="preserve">von K.K. Lehmann </w:t>
      </w:r>
      <w:r w:rsidRPr="005753FB">
        <w:rPr>
          <w:bCs/>
          <w:sz w:val="20"/>
          <w:szCs w:val="20"/>
        </w:rPr>
        <w:t>spr</w:t>
      </w:r>
      <w:r w:rsidR="005753FB" w:rsidRPr="005753FB">
        <w:rPr>
          <w:bCs/>
          <w:sz w:val="20"/>
          <w:szCs w:val="20"/>
        </w:rPr>
        <w:t>icht (exemplarisch)</w:t>
      </w:r>
      <w:r w:rsidRPr="005753FB">
        <w:rPr>
          <w:bCs/>
          <w:sz w:val="20"/>
          <w:szCs w:val="20"/>
        </w:rPr>
        <w:t xml:space="preserve">: </w:t>
      </w:r>
      <w:r w:rsidR="001F4CEE">
        <w:rPr>
          <w:bCs/>
          <w:sz w:val="20"/>
          <w:szCs w:val="20"/>
        </w:rPr>
        <w:t>S</w:t>
      </w:r>
      <w:r w:rsidR="005753FB" w:rsidRPr="005753FB">
        <w:rPr>
          <w:bCs/>
          <w:sz w:val="20"/>
          <w:szCs w:val="20"/>
        </w:rPr>
        <w:t>chon im Wort „interreligiöser Dialog“ steckt das Wort „Religion“, also darf das Thema nicht ausgeschlossen werden; zudem produziert eine Haltung, die Themen ausschließt, nicht-förderliche Tabus und man könnte den Vorwurf der Gleichgültigkeit machen im Sinne von „alles ist gleich egal“. Respekt darf nicht mit Gleichgültigkeit verwechselt werden.</w:t>
      </w:r>
    </w:p>
    <w:p w14:paraId="70A3D2B3" w14:textId="2CEE6B83" w:rsidR="005753FB" w:rsidRPr="001F4CEE" w:rsidRDefault="005753FB" w:rsidP="00472310">
      <w:pPr>
        <w:pStyle w:val="Listenabsatz"/>
        <w:numPr>
          <w:ilvl w:val="0"/>
          <w:numId w:val="5"/>
        </w:numPr>
        <w:spacing w:after="0" w:line="240" w:lineRule="auto"/>
        <w:rPr>
          <w:bCs/>
          <w:sz w:val="20"/>
          <w:szCs w:val="20"/>
        </w:rPr>
      </w:pPr>
      <w:r w:rsidRPr="005753FB">
        <w:rPr>
          <w:bCs/>
          <w:sz w:val="20"/>
          <w:szCs w:val="20"/>
        </w:rPr>
        <w:t xml:space="preserve">CONTRA die Argumentation von K.K. Lehmann spricht (exemplarisch): </w:t>
      </w:r>
      <w:r w:rsidR="001F4CEE">
        <w:rPr>
          <w:bCs/>
          <w:sz w:val="20"/>
          <w:szCs w:val="20"/>
        </w:rPr>
        <w:t>D</w:t>
      </w:r>
      <w:r w:rsidRPr="005753FB">
        <w:rPr>
          <w:bCs/>
          <w:sz w:val="20"/>
          <w:szCs w:val="20"/>
        </w:rPr>
        <w:t xml:space="preserve">ie Weltreligionen können sich natürlich auch, wenn sie sich auf ihre gemeinsamen Anliegen wie </w:t>
      </w:r>
      <w:r w:rsidRPr="005753FB">
        <w:rPr>
          <w:sz w:val="20"/>
          <w:szCs w:val="20"/>
        </w:rPr>
        <w:t>Suche nach Frieden, Gerechtigkeit</w:t>
      </w:r>
      <w:r w:rsidR="001F4CEE">
        <w:rPr>
          <w:sz w:val="20"/>
          <w:szCs w:val="20"/>
        </w:rPr>
        <w:t xml:space="preserve">, Bewahrung der Schöpfung </w:t>
      </w:r>
      <w:r w:rsidRPr="005753FB">
        <w:rPr>
          <w:sz w:val="20"/>
          <w:szCs w:val="20"/>
        </w:rPr>
        <w:t>berufen, in politischen, sozialen und ökologischen Krisen weltweit ein</w:t>
      </w:r>
      <w:r w:rsidR="001F4CEE">
        <w:rPr>
          <w:sz w:val="20"/>
          <w:szCs w:val="20"/>
        </w:rPr>
        <w:t>mischen und eine gemeinsame Ethik des sinnerfüllten und würdigen Zusammenlebens von Mensch, Tier und Natur zum Ausdruck bringen. Nur dann wird auf die Religionen gehört, wenn sie sich zusammentun.</w:t>
      </w:r>
    </w:p>
    <w:p w14:paraId="5F912880" w14:textId="3BBFA813" w:rsidR="001F4CEE" w:rsidRPr="002E49A5" w:rsidRDefault="001F4CEE" w:rsidP="00472310">
      <w:pPr>
        <w:pStyle w:val="Listenabsatz"/>
        <w:numPr>
          <w:ilvl w:val="0"/>
          <w:numId w:val="5"/>
        </w:numPr>
        <w:spacing w:after="0" w:line="240" w:lineRule="auto"/>
        <w:rPr>
          <w:bCs/>
          <w:sz w:val="20"/>
          <w:szCs w:val="20"/>
        </w:rPr>
      </w:pPr>
      <w:r>
        <w:rPr>
          <w:sz w:val="20"/>
          <w:szCs w:val="20"/>
        </w:rPr>
        <w:t>FAZIT: Deshalb kann</w:t>
      </w:r>
      <w:r w:rsidR="002E49A5">
        <w:rPr>
          <w:sz w:val="20"/>
          <w:szCs w:val="20"/>
        </w:rPr>
        <w:t xml:space="preserve"> </w:t>
      </w:r>
      <w:r w:rsidR="00E315D7">
        <w:rPr>
          <w:sz w:val="20"/>
          <w:szCs w:val="20"/>
        </w:rPr>
        <w:t xml:space="preserve">in einem ersten Schritt </w:t>
      </w:r>
      <w:r>
        <w:rPr>
          <w:sz w:val="20"/>
          <w:szCs w:val="20"/>
        </w:rPr>
        <w:t xml:space="preserve">ein gemeinsames soziales oder politisches Anliegen die Vertreter*innen von Religionen in den Dialog miteinander führen und zum gemeinsamen Handeln aufrufen. Und in einem zweiten Schritt kann es dann um vertiefte Auseinandersetzung des religiösen Wahrheitsanspruches von verschiedenen Religionen gehen. </w:t>
      </w:r>
      <w:r w:rsidR="00E315D7">
        <w:rPr>
          <w:sz w:val="20"/>
          <w:szCs w:val="20"/>
        </w:rPr>
        <w:t xml:space="preserve">Leitend sollte hierbei sein: </w:t>
      </w:r>
      <w:r>
        <w:rPr>
          <w:sz w:val="20"/>
          <w:szCs w:val="20"/>
        </w:rPr>
        <w:t>WAHRHEIT</w:t>
      </w:r>
      <w:r w:rsidR="00E315D7">
        <w:rPr>
          <w:sz w:val="20"/>
          <w:szCs w:val="20"/>
        </w:rPr>
        <w:t>SSUCHE</w:t>
      </w:r>
      <w:r>
        <w:rPr>
          <w:sz w:val="20"/>
          <w:szCs w:val="20"/>
        </w:rPr>
        <w:t xml:space="preserve"> und RELIGIONSFREIHEIT</w:t>
      </w:r>
      <w:r w:rsidR="00E315D7">
        <w:rPr>
          <w:sz w:val="20"/>
          <w:szCs w:val="20"/>
        </w:rPr>
        <w:t xml:space="preserve"> gehören zusammen</w:t>
      </w:r>
      <w:r>
        <w:rPr>
          <w:sz w:val="20"/>
          <w:szCs w:val="20"/>
        </w:rPr>
        <w:t>.</w:t>
      </w:r>
    </w:p>
    <w:p w14:paraId="429FB978" w14:textId="6A4DE6D2" w:rsidR="002E49A5" w:rsidRDefault="002E49A5" w:rsidP="002E49A5">
      <w:pPr>
        <w:spacing w:after="0" w:line="240" w:lineRule="auto"/>
        <w:rPr>
          <w:bCs/>
          <w:sz w:val="20"/>
          <w:szCs w:val="20"/>
        </w:rPr>
      </w:pPr>
    </w:p>
    <w:p w14:paraId="499CECDE" w14:textId="2437CDAD" w:rsidR="002E49A5" w:rsidRDefault="002E49A5">
      <w:pPr>
        <w:spacing w:after="160" w:line="259" w:lineRule="auto"/>
        <w:rPr>
          <w:bCs/>
          <w:sz w:val="20"/>
          <w:szCs w:val="20"/>
        </w:rPr>
      </w:pPr>
      <w:r>
        <w:rPr>
          <w:bCs/>
          <w:sz w:val="20"/>
          <w:szCs w:val="20"/>
        </w:rPr>
        <w:br w:type="page"/>
      </w:r>
    </w:p>
    <w:p w14:paraId="207CA809" w14:textId="77777777" w:rsidR="002E49A5" w:rsidRDefault="002E49A5" w:rsidP="002E49A5">
      <w:pPr>
        <w:spacing w:after="0" w:line="240" w:lineRule="auto"/>
        <w:rPr>
          <w:rFonts w:cstheme="minorHAnsi"/>
          <w:b/>
          <w:sz w:val="20"/>
          <w:szCs w:val="20"/>
        </w:rPr>
      </w:pPr>
    </w:p>
    <w:p w14:paraId="69471724" w14:textId="7507C9E8" w:rsidR="002E49A5" w:rsidRPr="00A36B45" w:rsidRDefault="002E49A5" w:rsidP="002E49A5">
      <w:pPr>
        <w:jc w:val="both"/>
        <w:rPr>
          <w:rFonts w:cstheme="minorHAnsi"/>
          <w:b/>
          <w:bCs/>
        </w:rPr>
      </w:pPr>
      <w:r w:rsidRPr="003A14BB">
        <w:rPr>
          <w:rFonts w:cstheme="minorHAnsi"/>
          <w:b/>
          <w:bCs/>
          <w:highlight w:val="lightGray"/>
        </w:rPr>
        <w:t xml:space="preserve">Mögliche </w:t>
      </w:r>
      <w:r>
        <w:rPr>
          <w:rFonts w:cstheme="minorHAnsi"/>
          <w:b/>
          <w:bCs/>
          <w:highlight w:val="lightGray"/>
        </w:rPr>
        <w:t xml:space="preserve">weitere Aufgaben </w:t>
      </w:r>
      <w:r w:rsidRPr="003A14BB">
        <w:rPr>
          <w:rFonts w:cstheme="minorHAnsi"/>
          <w:b/>
          <w:bCs/>
          <w:highlight w:val="lightGray"/>
        </w:rPr>
        <w:t>im Prüfungsgespräch:</w:t>
      </w:r>
    </w:p>
    <w:p w14:paraId="780D780E" w14:textId="462C5E2C" w:rsidR="002E49A5" w:rsidRDefault="002E49A5" w:rsidP="002E49A5">
      <w:pPr>
        <w:spacing w:after="0"/>
        <w:rPr>
          <w:sz w:val="24"/>
          <w:szCs w:val="24"/>
        </w:rPr>
      </w:pPr>
      <w:r>
        <w:rPr>
          <w:sz w:val="24"/>
          <w:szCs w:val="24"/>
        </w:rPr>
        <w:t xml:space="preserve">Karl Kardinal Lehmann spricht in seinen Ausführungen die kirchliche Erklärung „Nostra </w:t>
      </w:r>
      <w:proofErr w:type="spellStart"/>
      <w:r>
        <w:rPr>
          <w:sz w:val="24"/>
          <w:szCs w:val="24"/>
        </w:rPr>
        <w:t>aetate</w:t>
      </w:r>
      <w:proofErr w:type="spellEnd"/>
      <w:r>
        <w:rPr>
          <w:sz w:val="24"/>
          <w:szCs w:val="24"/>
        </w:rPr>
        <w:t xml:space="preserve">“ an. </w:t>
      </w:r>
      <w:r w:rsidRPr="001772A1">
        <w:rPr>
          <w:sz w:val="24"/>
          <w:szCs w:val="24"/>
        </w:rPr>
        <w:t>Geben</w:t>
      </w:r>
      <w:r>
        <w:rPr>
          <w:b/>
          <w:bCs/>
          <w:sz w:val="24"/>
          <w:szCs w:val="24"/>
        </w:rPr>
        <w:t xml:space="preserve"> </w:t>
      </w:r>
      <w:r>
        <w:rPr>
          <w:sz w:val="24"/>
          <w:szCs w:val="24"/>
        </w:rPr>
        <w:t>Sie das Grundanliegen dieser Erklärung und eine der Verhältnisbestimmungen der katholischen Kirche zu einer nicht-christlichen Religion in dieser Erklärung wieder</w:t>
      </w:r>
      <w:r w:rsidR="00A423B8">
        <w:rPr>
          <w:sz w:val="24"/>
          <w:szCs w:val="24"/>
        </w:rPr>
        <w:t>.</w:t>
      </w:r>
    </w:p>
    <w:p w14:paraId="758A3D10" w14:textId="77777777" w:rsidR="002E49A5" w:rsidRPr="005753FB" w:rsidRDefault="002E49A5" w:rsidP="002E49A5">
      <w:pPr>
        <w:pStyle w:val="Listenabsatz"/>
        <w:numPr>
          <w:ilvl w:val="0"/>
          <w:numId w:val="1"/>
        </w:numPr>
        <w:spacing w:after="0" w:line="240" w:lineRule="auto"/>
        <w:ind w:left="714" w:hanging="357"/>
        <w:rPr>
          <w:bCs/>
          <w:sz w:val="20"/>
          <w:szCs w:val="20"/>
        </w:rPr>
      </w:pPr>
      <w:r w:rsidRPr="005753FB">
        <w:rPr>
          <w:bCs/>
          <w:sz w:val="20"/>
          <w:szCs w:val="20"/>
        </w:rPr>
        <w:t>Operator „Wiedergeben“: AFB I; Reproduktion von er-/bekanntem Sachverhalt in eigenen Worten + Fachsprache.</w:t>
      </w:r>
    </w:p>
    <w:p w14:paraId="53558E31" w14:textId="77777777" w:rsidR="002E49A5" w:rsidRPr="005753FB" w:rsidRDefault="002E49A5" w:rsidP="002E49A5">
      <w:pPr>
        <w:pStyle w:val="Listenabsatz"/>
        <w:numPr>
          <w:ilvl w:val="0"/>
          <w:numId w:val="1"/>
        </w:numPr>
        <w:spacing w:after="0" w:line="240" w:lineRule="auto"/>
        <w:rPr>
          <w:bCs/>
          <w:sz w:val="20"/>
          <w:szCs w:val="20"/>
        </w:rPr>
      </w:pPr>
      <w:r w:rsidRPr="005753FB">
        <w:rPr>
          <w:bCs/>
          <w:sz w:val="20"/>
          <w:szCs w:val="20"/>
        </w:rPr>
        <w:t xml:space="preserve">Grundanliegen von „Nostra </w:t>
      </w:r>
      <w:proofErr w:type="spellStart"/>
      <w:r w:rsidRPr="005753FB">
        <w:rPr>
          <w:bCs/>
          <w:sz w:val="20"/>
          <w:szCs w:val="20"/>
        </w:rPr>
        <w:t>Aetate</w:t>
      </w:r>
      <w:proofErr w:type="spellEnd"/>
      <w:r w:rsidRPr="005753FB">
        <w:rPr>
          <w:bCs/>
          <w:sz w:val="20"/>
          <w:szCs w:val="20"/>
        </w:rPr>
        <w:t xml:space="preserve">“, Erklärung der kath. Kirche im II. </w:t>
      </w:r>
      <w:proofErr w:type="spellStart"/>
      <w:r w:rsidRPr="005753FB">
        <w:rPr>
          <w:bCs/>
          <w:sz w:val="20"/>
          <w:szCs w:val="20"/>
        </w:rPr>
        <w:t>Vat</w:t>
      </w:r>
      <w:proofErr w:type="spellEnd"/>
      <w:r w:rsidRPr="005753FB">
        <w:rPr>
          <w:bCs/>
          <w:sz w:val="20"/>
          <w:szCs w:val="20"/>
        </w:rPr>
        <w:t>.: Feststellung und Würdigung der gemeinsamen Ursprünge und Fragen aller Religionen.</w:t>
      </w:r>
    </w:p>
    <w:p w14:paraId="143CBF8D" w14:textId="77777777" w:rsidR="002E49A5" w:rsidRPr="005753FB" w:rsidRDefault="002E49A5" w:rsidP="002E49A5">
      <w:pPr>
        <w:pStyle w:val="Listenabsatz"/>
        <w:numPr>
          <w:ilvl w:val="0"/>
          <w:numId w:val="1"/>
        </w:numPr>
        <w:spacing w:after="0" w:line="240" w:lineRule="auto"/>
        <w:rPr>
          <w:bCs/>
          <w:sz w:val="20"/>
          <w:szCs w:val="20"/>
        </w:rPr>
      </w:pPr>
      <w:r w:rsidRPr="005753FB">
        <w:rPr>
          <w:bCs/>
          <w:sz w:val="20"/>
          <w:szCs w:val="20"/>
        </w:rPr>
        <w:t xml:space="preserve">Mögliche Antworten zu Verhältnisbestimmungen (je nach Wahl des Prüflings): </w:t>
      </w:r>
    </w:p>
    <w:p w14:paraId="798D3E37" w14:textId="77777777" w:rsidR="002E49A5" w:rsidRPr="005753FB" w:rsidRDefault="002E49A5" w:rsidP="002E49A5">
      <w:pPr>
        <w:pStyle w:val="Listenabsatz"/>
        <w:spacing w:after="0" w:line="240" w:lineRule="auto"/>
        <w:rPr>
          <w:sz w:val="20"/>
          <w:szCs w:val="20"/>
        </w:rPr>
      </w:pPr>
      <w:r w:rsidRPr="005753FB">
        <w:rPr>
          <w:b/>
          <w:sz w:val="20"/>
          <w:szCs w:val="20"/>
        </w:rPr>
        <w:t>a)</w:t>
      </w:r>
      <w:r w:rsidRPr="005753FB">
        <w:rPr>
          <w:bCs/>
          <w:sz w:val="20"/>
          <w:szCs w:val="20"/>
        </w:rPr>
        <w:t xml:space="preserve"> zu </w:t>
      </w:r>
      <w:r w:rsidRPr="005753FB">
        <w:rPr>
          <w:b/>
          <w:sz w:val="20"/>
          <w:szCs w:val="20"/>
        </w:rPr>
        <w:t>Hinduismus</w:t>
      </w:r>
      <w:r w:rsidRPr="005753FB">
        <w:rPr>
          <w:bCs/>
          <w:sz w:val="20"/>
          <w:szCs w:val="20"/>
        </w:rPr>
        <w:t xml:space="preserve">: </w:t>
      </w:r>
      <w:r w:rsidRPr="005753FB">
        <w:rPr>
          <w:sz w:val="20"/>
          <w:szCs w:val="20"/>
        </w:rPr>
        <w:t xml:space="preserve">Anerkenntnis einer höchsten Gottheit, zum Ausdruck gebracht in Mythen, Meditation, Askese. </w:t>
      </w:r>
    </w:p>
    <w:p w14:paraId="3A98B473" w14:textId="77777777" w:rsidR="002E49A5" w:rsidRPr="005753FB" w:rsidRDefault="002E49A5" w:rsidP="002E49A5">
      <w:pPr>
        <w:pStyle w:val="Listenabsatz"/>
        <w:spacing w:after="0" w:line="240" w:lineRule="auto"/>
        <w:rPr>
          <w:sz w:val="20"/>
          <w:szCs w:val="20"/>
        </w:rPr>
      </w:pPr>
      <w:r w:rsidRPr="005753FB">
        <w:rPr>
          <w:b/>
          <w:bCs/>
          <w:sz w:val="20"/>
          <w:szCs w:val="20"/>
        </w:rPr>
        <w:t>b)</w:t>
      </w:r>
      <w:r w:rsidRPr="005753FB">
        <w:rPr>
          <w:sz w:val="20"/>
          <w:szCs w:val="20"/>
        </w:rPr>
        <w:t xml:space="preserve"> zu </w:t>
      </w:r>
      <w:r w:rsidRPr="005753FB">
        <w:rPr>
          <w:b/>
          <w:bCs/>
          <w:sz w:val="20"/>
          <w:szCs w:val="20"/>
        </w:rPr>
        <w:t>Buddhismus:</w:t>
      </w:r>
      <w:r w:rsidRPr="005753FB">
        <w:rPr>
          <w:sz w:val="20"/>
          <w:szCs w:val="20"/>
        </w:rPr>
        <w:t xml:space="preserve"> Bewusstsein über das Ungenügen der diesseitigen Welt und die Suche nach Befreiung und Erleuchtung. </w:t>
      </w:r>
    </w:p>
    <w:p w14:paraId="0F4F6BFC" w14:textId="77777777" w:rsidR="002E49A5" w:rsidRPr="005753FB" w:rsidRDefault="002E49A5" w:rsidP="002E49A5">
      <w:pPr>
        <w:pStyle w:val="Listenabsatz"/>
        <w:spacing w:after="0" w:line="240" w:lineRule="auto"/>
        <w:rPr>
          <w:bCs/>
          <w:sz w:val="20"/>
          <w:szCs w:val="20"/>
        </w:rPr>
      </w:pPr>
      <w:r w:rsidRPr="005753FB">
        <w:rPr>
          <w:bCs/>
          <w:sz w:val="20"/>
          <w:szCs w:val="20"/>
          <w:u w:val="single"/>
        </w:rPr>
        <w:t>Deshalb:</w:t>
      </w:r>
      <w:r w:rsidRPr="005753FB">
        <w:rPr>
          <w:bCs/>
          <w:sz w:val="20"/>
          <w:szCs w:val="20"/>
        </w:rPr>
        <w:t xml:space="preserve"> Förderung der Zusammenarbeit der religiösen Güter in Hinblick auf diese Religionen.</w:t>
      </w:r>
    </w:p>
    <w:p w14:paraId="74EE4B9B" w14:textId="77777777" w:rsidR="002E49A5" w:rsidRPr="005753FB" w:rsidRDefault="002E49A5" w:rsidP="002E49A5">
      <w:pPr>
        <w:pStyle w:val="Kommentartext"/>
        <w:spacing w:after="0"/>
        <w:ind w:left="708"/>
      </w:pPr>
      <w:r w:rsidRPr="005753FB">
        <w:rPr>
          <w:b/>
        </w:rPr>
        <w:t>c)</w:t>
      </w:r>
      <w:r w:rsidRPr="005753FB">
        <w:rPr>
          <w:bCs/>
        </w:rPr>
        <w:t xml:space="preserve"> zu </w:t>
      </w:r>
      <w:r w:rsidRPr="005753FB">
        <w:rPr>
          <w:b/>
        </w:rPr>
        <w:t>Islam:</w:t>
      </w:r>
      <w:r w:rsidRPr="005753FB">
        <w:rPr>
          <w:bCs/>
        </w:rPr>
        <w:t xml:space="preserve"> Hochachtung vor </w:t>
      </w:r>
      <w:r w:rsidRPr="005753FB">
        <w:t>vielen Gemeinsamkeiten zwischen dem christlichen Glauben und dem islamischen, wie z.B. Glaube an einen Gott.</w:t>
      </w:r>
    </w:p>
    <w:p w14:paraId="74D767D3" w14:textId="77777777" w:rsidR="002E49A5" w:rsidRPr="005753FB" w:rsidRDefault="002E49A5" w:rsidP="002E49A5">
      <w:pPr>
        <w:pStyle w:val="Kommentartext"/>
        <w:spacing w:after="0"/>
        <w:ind w:left="708"/>
      </w:pPr>
      <w:r w:rsidRPr="005753FB">
        <w:rPr>
          <w:u w:val="single"/>
        </w:rPr>
        <w:t>Deshalb:</w:t>
      </w:r>
      <w:r w:rsidRPr="005753FB">
        <w:t xml:space="preserve"> vergangene Feindschaften beiseitelassen und die gemeinsamen Glaubenswerte zur Förderung von Gerechtigkeit, Frieden und Freiheit für alle Menschen bemühen.</w:t>
      </w:r>
    </w:p>
    <w:p w14:paraId="06B706DD" w14:textId="77777777" w:rsidR="002E49A5" w:rsidRPr="005753FB" w:rsidRDefault="002E49A5" w:rsidP="002E49A5">
      <w:pPr>
        <w:pStyle w:val="Kommentartext"/>
        <w:spacing w:after="0"/>
        <w:ind w:left="708"/>
      </w:pPr>
      <w:r w:rsidRPr="005753FB">
        <w:rPr>
          <w:b/>
          <w:bCs/>
        </w:rPr>
        <w:t>d)</w:t>
      </w:r>
      <w:r w:rsidRPr="005753FB">
        <w:t xml:space="preserve"> zu </w:t>
      </w:r>
      <w:r w:rsidRPr="005753FB">
        <w:rPr>
          <w:b/>
          <w:bCs/>
        </w:rPr>
        <w:t>Judentum:</w:t>
      </w:r>
      <w:r w:rsidRPr="005753FB">
        <w:t xml:space="preserve"> gemeinsames Band, christlicher Glaube als Fortsetzung des Alten Bundes, christliche Glaube an Jesus, den Christus, der Juden und Heiden ein für alle Mal versöhnt, hat Wurzel im Judentum.</w:t>
      </w:r>
    </w:p>
    <w:p w14:paraId="368EED7B" w14:textId="77777777" w:rsidR="002E49A5" w:rsidRPr="00475000" w:rsidRDefault="002E49A5" w:rsidP="002E49A5">
      <w:pPr>
        <w:pStyle w:val="Kommentartext"/>
        <w:spacing w:after="0"/>
        <w:ind w:left="708"/>
      </w:pPr>
      <w:r w:rsidRPr="005753FB">
        <w:rPr>
          <w:u w:val="single"/>
        </w:rPr>
        <w:t>Deshalb:</w:t>
      </w:r>
      <w:r w:rsidRPr="005753FB">
        <w:t xml:space="preserve"> </w:t>
      </w:r>
      <w:r w:rsidRPr="00475000">
        <w:t>aus dem Bewusstsein des gemeinsamen Erbes</w:t>
      </w:r>
      <w:r w:rsidRPr="005753FB">
        <w:t xml:space="preserve"> sich </w:t>
      </w:r>
      <w:r w:rsidRPr="00475000">
        <w:t>gegen alle Anfeindungen gegenüber dem Judentum entschieden stellen</w:t>
      </w:r>
      <w:r w:rsidRPr="005753FB">
        <w:t>, für die Liebe gegenüber allen Menschen eintreten; jede Art von rassistischer etc. Diskriminierung verurteilen.</w:t>
      </w:r>
    </w:p>
    <w:p w14:paraId="077504D5" w14:textId="2F4705AB" w:rsidR="002E49A5" w:rsidRDefault="002E49A5" w:rsidP="002E49A5">
      <w:pPr>
        <w:spacing w:after="0"/>
        <w:rPr>
          <w:sz w:val="24"/>
          <w:szCs w:val="24"/>
        </w:rPr>
      </w:pPr>
    </w:p>
    <w:p w14:paraId="52B143FE" w14:textId="7519BB5A" w:rsidR="002E49A5" w:rsidRDefault="002E49A5" w:rsidP="002E49A5">
      <w:pPr>
        <w:spacing w:after="0"/>
        <w:rPr>
          <w:sz w:val="24"/>
          <w:szCs w:val="24"/>
        </w:rPr>
      </w:pPr>
      <w:r>
        <w:rPr>
          <w:sz w:val="24"/>
          <w:szCs w:val="24"/>
        </w:rPr>
        <w:t>Ordnen sie den Text von Karl Kardinal Lehmann einem der von Ihnen dargestellten vier Zugänge zu Welt zu.</w:t>
      </w:r>
    </w:p>
    <w:p w14:paraId="6B03955E" w14:textId="77777777" w:rsidR="002E49A5" w:rsidRDefault="002E49A5" w:rsidP="002E49A5">
      <w:pPr>
        <w:pStyle w:val="Listenabsatz"/>
        <w:numPr>
          <w:ilvl w:val="0"/>
          <w:numId w:val="7"/>
        </w:numPr>
        <w:spacing w:after="0" w:line="240" w:lineRule="auto"/>
        <w:rPr>
          <w:bCs/>
          <w:sz w:val="20"/>
          <w:szCs w:val="20"/>
        </w:rPr>
      </w:pPr>
      <w:r>
        <w:rPr>
          <w:bCs/>
          <w:sz w:val="20"/>
          <w:szCs w:val="20"/>
        </w:rPr>
        <w:t>Operator „Zuordnen“: AFB 2; einen bekannten Sachverhalt in einen neuen oder anderen Zusammenhang unter Hinzuziehen von Textbeleg stellen</w:t>
      </w:r>
    </w:p>
    <w:p w14:paraId="03861DA8" w14:textId="77777777" w:rsidR="002E49A5" w:rsidRDefault="002E49A5" w:rsidP="002E49A5">
      <w:pPr>
        <w:pStyle w:val="Listenabsatz"/>
        <w:numPr>
          <w:ilvl w:val="0"/>
          <w:numId w:val="7"/>
        </w:numPr>
        <w:spacing w:after="0" w:line="240" w:lineRule="auto"/>
        <w:rPr>
          <w:bCs/>
          <w:sz w:val="20"/>
          <w:szCs w:val="20"/>
        </w:rPr>
      </w:pPr>
      <w:r>
        <w:rPr>
          <w:bCs/>
          <w:sz w:val="20"/>
          <w:szCs w:val="20"/>
        </w:rPr>
        <w:t>Thema des Textes: Dialog der Religionen, denen es um letztgültige Fragen geht (vgl. Z. 1-4) =konstitutiver Zugang</w:t>
      </w:r>
    </w:p>
    <w:p w14:paraId="4B2C55BA" w14:textId="77777777" w:rsidR="002E49A5" w:rsidRPr="008734ED" w:rsidRDefault="002E49A5" w:rsidP="002E49A5">
      <w:pPr>
        <w:pStyle w:val="Listenabsatz"/>
        <w:numPr>
          <w:ilvl w:val="0"/>
          <w:numId w:val="7"/>
        </w:numPr>
        <w:spacing w:after="0" w:line="240" w:lineRule="auto"/>
        <w:rPr>
          <w:bCs/>
          <w:sz w:val="20"/>
          <w:szCs w:val="20"/>
        </w:rPr>
      </w:pPr>
      <w:r>
        <w:rPr>
          <w:bCs/>
          <w:sz w:val="20"/>
          <w:szCs w:val="20"/>
        </w:rPr>
        <w:t>Im Focus des Textes: Auf welchen Werten beruht ein konstruktiver Dialog der Religionen? =konstitutiver Zugang</w:t>
      </w:r>
    </w:p>
    <w:p w14:paraId="0BDA3533" w14:textId="77777777" w:rsidR="002E49A5" w:rsidRPr="002E49A5" w:rsidRDefault="002E49A5" w:rsidP="002E49A5">
      <w:pPr>
        <w:spacing w:after="0" w:line="240" w:lineRule="auto"/>
        <w:rPr>
          <w:bCs/>
          <w:sz w:val="20"/>
          <w:szCs w:val="20"/>
        </w:rPr>
      </w:pPr>
    </w:p>
    <w:sectPr w:rsidR="002E49A5" w:rsidRPr="002E49A5" w:rsidSect="002D06E5">
      <w:type w:val="continuous"/>
      <w:pgSz w:w="11906" w:h="16838"/>
      <w:pgMar w:top="284" w:right="1418"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123AB" w14:textId="77777777" w:rsidR="00C342AC" w:rsidRDefault="00C342AC" w:rsidP="00544716">
      <w:pPr>
        <w:spacing w:after="0" w:line="240" w:lineRule="auto"/>
      </w:pPr>
      <w:r>
        <w:separator/>
      </w:r>
    </w:p>
  </w:endnote>
  <w:endnote w:type="continuationSeparator" w:id="0">
    <w:p w14:paraId="2C621BF0" w14:textId="77777777" w:rsidR="00C342AC" w:rsidRDefault="00C342AC" w:rsidP="0054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9161D" w14:textId="77777777" w:rsidR="00C342AC" w:rsidRDefault="00C342AC" w:rsidP="00544716">
      <w:pPr>
        <w:spacing w:after="0" w:line="240" w:lineRule="auto"/>
      </w:pPr>
      <w:r>
        <w:separator/>
      </w:r>
    </w:p>
  </w:footnote>
  <w:footnote w:type="continuationSeparator" w:id="0">
    <w:p w14:paraId="3A90539F" w14:textId="77777777" w:rsidR="00C342AC" w:rsidRDefault="00C342AC" w:rsidP="00544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5F91"/>
    <w:multiLevelType w:val="hybridMultilevel"/>
    <w:tmpl w:val="2E4EB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E837FE"/>
    <w:multiLevelType w:val="hybridMultilevel"/>
    <w:tmpl w:val="ABC2E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BC6AF8"/>
    <w:multiLevelType w:val="hybridMultilevel"/>
    <w:tmpl w:val="16D2E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E91D5C"/>
    <w:multiLevelType w:val="hybridMultilevel"/>
    <w:tmpl w:val="46045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7C7098"/>
    <w:multiLevelType w:val="hybridMultilevel"/>
    <w:tmpl w:val="CA829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E53973"/>
    <w:multiLevelType w:val="hybridMultilevel"/>
    <w:tmpl w:val="49CEE8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4076B5"/>
    <w:multiLevelType w:val="hybridMultilevel"/>
    <w:tmpl w:val="864C7CA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E1"/>
    <w:rsid w:val="000660FD"/>
    <w:rsid w:val="000B142D"/>
    <w:rsid w:val="00136190"/>
    <w:rsid w:val="00164E90"/>
    <w:rsid w:val="001772A1"/>
    <w:rsid w:val="00193BE1"/>
    <w:rsid w:val="001F4CEE"/>
    <w:rsid w:val="002034EA"/>
    <w:rsid w:val="0021082C"/>
    <w:rsid w:val="002322E2"/>
    <w:rsid w:val="002D06E5"/>
    <w:rsid w:val="002E49A5"/>
    <w:rsid w:val="00367BF1"/>
    <w:rsid w:val="00472310"/>
    <w:rsid w:val="00475000"/>
    <w:rsid w:val="00484EA5"/>
    <w:rsid w:val="00486CAC"/>
    <w:rsid w:val="004B634C"/>
    <w:rsid w:val="00544716"/>
    <w:rsid w:val="00545ACC"/>
    <w:rsid w:val="005753FB"/>
    <w:rsid w:val="00577DEC"/>
    <w:rsid w:val="005A49ED"/>
    <w:rsid w:val="00662C06"/>
    <w:rsid w:val="00701048"/>
    <w:rsid w:val="007E5659"/>
    <w:rsid w:val="008734ED"/>
    <w:rsid w:val="008D52F0"/>
    <w:rsid w:val="0093045A"/>
    <w:rsid w:val="0096425D"/>
    <w:rsid w:val="00987059"/>
    <w:rsid w:val="00A423B8"/>
    <w:rsid w:val="00AA7F83"/>
    <w:rsid w:val="00AB502D"/>
    <w:rsid w:val="00B748D4"/>
    <w:rsid w:val="00C33B11"/>
    <w:rsid w:val="00C342AC"/>
    <w:rsid w:val="00CA35DF"/>
    <w:rsid w:val="00D84839"/>
    <w:rsid w:val="00E315D7"/>
    <w:rsid w:val="00EE49FD"/>
    <w:rsid w:val="00F14F05"/>
    <w:rsid w:val="00F347A6"/>
    <w:rsid w:val="00F67E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AD6F"/>
  <w15:chartTrackingRefBased/>
  <w15:docId w15:val="{5AA7C1F1-6767-4C62-A256-68C0F4B7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142D"/>
    <w:pPr>
      <w:spacing w:after="200" w:line="276" w:lineRule="auto"/>
    </w:pPr>
  </w:style>
  <w:style w:type="paragraph" w:styleId="berschrift1">
    <w:name w:val="heading 1"/>
    <w:basedOn w:val="Standard"/>
    <w:next w:val="Standard"/>
    <w:link w:val="berschrift1Zchn"/>
    <w:qFormat/>
    <w:rsid w:val="000B142D"/>
    <w:pPr>
      <w:keepNext/>
      <w:spacing w:after="0" w:line="360" w:lineRule="auto"/>
      <w:outlineLvl w:val="0"/>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B142D"/>
    <w:rPr>
      <w:rFonts w:ascii="Times New Roman" w:eastAsia="Times New Roman" w:hAnsi="Times New Roman" w:cs="Times New Roman"/>
      <w:b/>
      <w:bCs/>
      <w:sz w:val="24"/>
      <w:szCs w:val="24"/>
      <w:lang w:eastAsia="de-DE"/>
    </w:rPr>
  </w:style>
  <w:style w:type="character" w:styleId="Zeilennummer">
    <w:name w:val="line number"/>
    <w:basedOn w:val="Absatz-Standardschriftart"/>
    <w:uiPriority w:val="99"/>
    <w:semiHidden/>
    <w:unhideWhenUsed/>
    <w:rsid w:val="00EE49FD"/>
  </w:style>
  <w:style w:type="paragraph" w:styleId="Listenabsatz">
    <w:name w:val="List Paragraph"/>
    <w:basedOn w:val="Standard"/>
    <w:uiPriority w:val="34"/>
    <w:qFormat/>
    <w:rsid w:val="001772A1"/>
    <w:pPr>
      <w:ind w:left="720"/>
      <w:contextualSpacing/>
    </w:pPr>
  </w:style>
  <w:style w:type="paragraph" w:styleId="Sprechblasentext">
    <w:name w:val="Balloon Text"/>
    <w:basedOn w:val="Standard"/>
    <w:link w:val="SprechblasentextZchn"/>
    <w:uiPriority w:val="99"/>
    <w:semiHidden/>
    <w:unhideWhenUsed/>
    <w:rsid w:val="001772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72A1"/>
    <w:rPr>
      <w:rFonts w:ascii="Segoe UI" w:hAnsi="Segoe UI" w:cs="Segoe UI"/>
      <w:sz w:val="18"/>
      <w:szCs w:val="18"/>
    </w:rPr>
  </w:style>
  <w:style w:type="paragraph" w:styleId="Kommentartext">
    <w:name w:val="annotation text"/>
    <w:basedOn w:val="Standard"/>
    <w:link w:val="KommentartextZchn"/>
    <w:uiPriority w:val="99"/>
    <w:semiHidden/>
    <w:unhideWhenUsed/>
    <w:rsid w:val="0047500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5000"/>
    <w:rPr>
      <w:sz w:val="20"/>
      <w:szCs w:val="20"/>
    </w:rPr>
  </w:style>
  <w:style w:type="paragraph" w:styleId="Kopfzeile">
    <w:name w:val="header"/>
    <w:basedOn w:val="Standard"/>
    <w:link w:val="KopfzeileZchn"/>
    <w:uiPriority w:val="99"/>
    <w:unhideWhenUsed/>
    <w:rsid w:val="005447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4716"/>
  </w:style>
  <w:style w:type="paragraph" w:styleId="Fuzeile">
    <w:name w:val="footer"/>
    <w:basedOn w:val="Standard"/>
    <w:link w:val="FuzeileZchn"/>
    <w:uiPriority w:val="99"/>
    <w:unhideWhenUsed/>
    <w:rsid w:val="005447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7521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Baßler-Schipperges</dc:creator>
  <cp:keywords/>
  <dc:description/>
  <cp:lastModifiedBy>Judith Baßler-Schipperges</cp:lastModifiedBy>
  <cp:revision>7</cp:revision>
  <cp:lastPrinted>2020-11-17T18:29:00Z</cp:lastPrinted>
  <dcterms:created xsi:type="dcterms:W3CDTF">2020-10-18T09:17:00Z</dcterms:created>
  <dcterms:modified xsi:type="dcterms:W3CDTF">2021-02-20T11:18:00Z</dcterms:modified>
</cp:coreProperties>
</file>