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B53" w:rsidRPr="00604E40" w:rsidRDefault="00604E40" w:rsidP="00604E40">
      <w:pPr>
        <w:rPr>
          <w:b/>
          <w:sz w:val="28"/>
          <w:szCs w:val="28"/>
        </w:rPr>
      </w:pPr>
      <w:r>
        <w:rPr>
          <w:b/>
          <w:sz w:val="28"/>
          <w:szCs w:val="28"/>
        </w:rPr>
        <w:t>8.</w:t>
      </w:r>
      <w:r w:rsidR="002D36BF">
        <w:rPr>
          <w:b/>
          <w:sz w:val="28"/>
          <w:szCs w:val="28"/>
        </w:rPr>
        <w:t xml:space="preserve"> </w:t>
      </w:r>
      <w:r w:rsidR="00146B53" w:rsidRPr="00604E40">
        <w:rPr>
          <w:b/>
          <w:sz w:val="28"/>
          <w:szCs w:val="28"/>
        </w:rPr>
        <w:t>Verhaltenskodex</w:t>
      </w:r>
    </w:p>
    <w:p w:rsidR="004B28E3" w:rsidRDefault="004B28E3">
      <w:r>
        <w:rPr>
          <w:noProof/>
          <w:lang w:eastAsia="de-DE"/>
        </w:rPr>
        <mc:AlternateContent>
          <mc:Choice Requires="wps">
            <w:drawing>
              <wp:anchor distT="0" distB="0" distL="114300" distR="114300" simplePos="0" relativeHeight="251665408" behindDoc="0" locked="0" layoutInCell="1" allowOverlap="1" wp14:anchorId="4B7AE35E" wp14:editId="44716989">
                <wp:simplePos x="0" y="0"/>
                <wp:positionH relativeFrom="column">
                  <wp:posOffset>1890395</wp:posOffset>
                </wp:positionH>
                <wp:positionV relativeFrom="paragraph">
                  <wp:posOffset>1342390</wp:posOffset>
                </wp:positionV>
                <wp:extent cx="3865880" cy="3448050"/>
                <wp:effectExtent l="0" t="0" r="20320" b="19050"/>
                <wp:wrapNone/>
                <wp:docPr id="2" name="Textfeld 2"/>
                <wp:cNvGraphicFramePr/>
                <a:graphic xmlns:a="http://schemas.openxmlformats.org/drawingml/2006/main">
                  <a:graphicData uri="http://schemas.microsoft.com/office/word/2010/wordprocessingShape">
                    <wps:wsp>
                      <wps:cNvSpPr txBox="1"/>
                      <wps:spPr>
                        <a:xfrm>
                          <a:off x="0" y="0"/>
                          <a:ext cx="3865880" cy="3448050"/>
                        </a:xfrm>
                        <a:prstGeom prst="rect">
                          <a:avLst/>
                        </a:prstGeom>
                        <a:solidFill>
                          <a:sysClr val="window" lastClr="FFFFFF"/>
                        </a:solidFill>
                        <a:ln w="6350">
                          <a:solidFill>
                            <a:prstClr val="black"/>
                          </a:solidFill>
                        </a:ln>
                      </wps:spPr>
                      <wps:txbx>
                        <w:txbxContent>
                          <w:p w:rsidR="002D36BF" w:rsidRDefault="004B28E3" w:rsidP="002D36BF">
                            <w:pPr>
                              <w:shd w:val="clear" w:color="auto" w:fill="FFFF00"/>
                              <w:rPr>
                                <w:bCs/>
                                <w:sz w:val="20"/>
                                <w:szCs w:val="20"/>
                              </w:rPr>
                            </w:pPr>
                            <w:r w:rsidRPr="004B28E3">
                              <w:rPr>
                                <w:bCs/>
                                <w:sz w:val="20"/>
                                <w:szCs w:val="20"/>
                              </w:rPr>
                              <w:t xml:space="preserve">In der Zusammenarbeit zwischen Schulen und Wirtschaft soll zukünftig ein </w:t>
                            </w:r>
                            <w:r w:rsidRPr="002D36BF">
                              <w:rPr>
                                <w:b/>
                                <w:bCs/>
                                <w:sz w:val="20"/>
                                <w:szCs w:val="20"/>
                              </w:rPr>
                              <w:t>Verhaltenskodex</w:t>
                            </w:r>
                            <w:r w:rsidRPr="004B28E3">
                              <w:rPr>
                                <w:bCs/>
                                <w:sz w:val="20"/>
                                <w:szCs w:val="20"/>
                              </w:rPr>
                              <w:t xml:space="preserve"> für Transparenz, Neutralität und Ausgewogenheit in Bildungsangeboten von außerschulischen Partnern für das neue Fach Wirtschaft/Berufs- und Studienorientierung sicherstellen.</w:t>
                            </w:r>
                            <w:r>
                              <w:rPr>
                                <w:bCs/>
                                <w:sz w:val="20"/>
                                <w:szCs w:val="20"/>
                              </w:rPr>
                              <w:t xml:space="preserve"> Verhaltenskodex  </w:t>
                            </w:r>
                          </w:p>
                          <w:p w:rsidR="004B28E3" w:rsidRDefault="0076611C" w:rsidP="002D36BF">
                            <w:pPr>
                              <w:shd w:val="clear" w:color="auto" w:fill="FFFF00"/>
                              <w:rPr>
                                <w:bCs/>
                                <w:sz w:val="20"/>
                                <w:szCs w:val="20"/>
                              </w:rPr>
                            </w:pPr>
                            <w:hyperlink r:id="rId5" w:history="1">
                              <w:r w:rsidR="002D36BF" w:rsidRPr="002D36BF">
                                <w:rPr>
                                  <w:rStyle w:val="Hyperlink"/>
                                </w:rPr>
                                <w:t>Verhaltenskodex</w:t>
                              </w:r>
                            </w:hyperlink>
                            <w:r w:rsidR="002D36BF">
                              <w:rPr>
                                <w:bCs/>
                                <w:sz w:val="20"/>
                                <w:szCs w:val="20"/>
                              </w:rPr>
                              <w:t xml:space="preserve"> </w:t>
                            </w:r>
                            <w:r w:rsidR="004B28E3">
                              <w:rPr>
                                <w:bCs/>
                                <w:sz w:val="20"/>
                                <w:szCs w:val="20"/>
                              </w:rPr>
                              <w:t xml:space="preserve"> </w:t>
                            </w:r>
                            <w:r w:rsidR="004B28E3">
                              <w:rPr>
                                <w:noProof/>
                                <w:lang w:eastAsia="de-DE"/>
                              </w:rPr>
                              <w:drawing>
                                <wp:inline distT="0" distB="0" distL="0" distR="0" wp14:anchorId="74C90C12" wp14:editId="5FE1146F">
                                  <wp:extent cx="837565" cy="186126"/>
                                  <wp:effectExtent l="0" t="0" r="63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6864" t="42040" r="55124" b="54793"/>
                                          <a:stretch/>
                                        </pic:blipFill>
                                        <pic:spPr bwMode="auto">
                                          <a:xfrm>
                                            <a:off x="0" y="0"/>
                                            <a:ext cx="903470" cy="200772"/>
                                          </a:xfrm>
                                          <a:prstGeom prst="rect">
                                            <a:avLst/>
                                          </a:prstGeom>
                                          <a:ln>
                                            <a:noFill/>
                                          </a:ln>
                                          <a:extLst>
                                            <a:ext uri="{53640926-AAD7-44D8-BBD7-CCE9431645EC}">
                                              <a14:shadowObscured xmlns:a14="http://schemas.microsoft.com/office/drawing/2010/main"/>
                                            </a:ext>
                                          </a:extLst>
                                        </pic:spPr>
                                      </pic:pic>
                                    </a:graphicData>
                                  </a:graphic>
                                </wp:inline>
                              </w:drawing>
                            </w:r>
                          </w:p>
                          <w:p w:rsidR="004B28E3" w:rsidRPr="004B28E3" w:rsidRDefault="004B28E3" w:rsidP="002D36BF">
                            <w:pPr>
                              <w:shd w:val="clear" w:color="auto" w:fill="FFFF00"/>
                              <w:rPr>
                                <w:bCs/>
                                <w:sz w:val="20"/>
                                <w:szCs w:val="20"/>
                              </w:rPr>
                            </w:pPr>
                            <w:r w:rsidRPr="004B28E3">
                              <w:rPr>
                                <w:bCs/>
                                <w:sz w:val="20"/>
                                <w:szCs w:val="20"/>
                              </w:rPr>
                              <w:t xml:space="preserve">Eine </w:t>
                            </w:r>
                            <w:r w:rsidRPr="002D36BF">
                              <w:rPr>
                                <w:sz w:val="20"/>
                                <w:szCs w:val="20"/>
                              </w:rPr>
                              <w:t>Handlungshilfe zum Code of Conduct</w:t>
                            </w:r>
                            <w:r w:rsidRPr="004B28E3">
                              <w:rPr>
                                <w:b/>
                                <w:bCs/>
                                <w:sz w:val="20"/>
                                <w:szCs w:val="20"/>
                              </w:rPr>
                              <w:t xml:space="preserve"> </w:t>
                            </w:r>
                            <w:r w:rsidRPr="004B28E3">
                              <w:rPr>
                                <w:bCs/>
                                <w:sz w:val="20"/>
                                <w:szCs w:val="20"/>
                              </w:rPr>
                              <w:t>mit konkreten Fragen zur Orientierung für die Schulen und Lehrkräfte vor Ort ergänzen die Regelungen im Code of Conduct. Auf Landesebene vereinbaren die Partner, sich regelmäßig über die Einhaltung der Grundsätze auszutauschen.</w:t>
                            </w:r>
                          </w:p>
                          <w:p w:rsidR="004B28E3" w:rsidRDefault="0076611C" w:rsidP="002D36BF">
                            <w:pPr>
                              <w:shd w:val="clear" w:color="auto" w:fill="FFFF00"/>
                              <w:jc w:val="left"/>
                            </w:pPr>
                            <w:hyperlink r:id="rId7" w:history="1">
                              <w:r w:rsidR="004B28E3" w:rsidRPr="002D36BF">
                                <w:rPr>
                                  <w:rStyle w:val="Hyperlink"/>
                                </w:rPr>
                                <w:t>Handlungshilfe</w:t>
                              </w:r>
                            </w:hyperlink>
                            <w:r w:rsidR="004B28E3">
                              <w:t xml:space="preserve">  </w:t>
                            </w:r>
                            <w:r w:rsidR="004B28E3">
                              <w:rPr>
                                <w:noProof/>
                                <w:lang w:eastAsia="de-DE"/>
                              </w:rPr>
                              <w:drawing>
                                <wp:inline distT="0" distB="0" distL="0" distR="0" wp14:anchorId="58D9D6F1" wp14:editId="3817B59E">
                                  <wp:extent cx="837565" cy="186126"/>
                                  <wp:effectExtent l="0" t="0" r="63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6864" t="42040" r="55124" b="54793"/>
                                          <a:stretch/>
                                        </pic:blipFill>
                                        <pic:spPr bwMode="auto">
                                          <a:xfrm>
                                            <a:off x="0" y="0"/>
                                            <a:ext cx="903470" cy="200772"/>
                                          </a:xfrm>
                                          <a:prstGeom prst="rect">
                                            <a:avLst/>
                                          </a:prstGeom>
                                          <a:ln>
                                            <a:noFill/>
                                          </a:ln>
                                          <a:extLst>
                                            <a:ext uri="{53640926-AAD7-44D8-BBD7-CCE9431645EC}">
                                              <a14:shadowObscured xmlns:a14="http://schemas.microsoft.com/office/drawing/2010/main"/>
                                            </a:ext>
                                          </a:extLst>
                                        </pic:spPr>
                                      </pic:pic>
                                    </a:graphicData>
                                  </a:graphic>
                                </wp:inline>
                              </w:drawing>
                            </w:r>
                          </w:p>
                          <w:p w:rsidR="00146B53" w:rsidRDefault="00146B53" w:rsidP="002D36BF">
                            <w:pPr>
                              <w:shd w:val="clear" w:color="auto" w:fill="FFFF00"/>
                              <w:rPr>
                                <w:bCs/>
                                <w:sz w:val="20"/>
                                <w:szCs w:val="20"/>
                              </w:rPr>
                            </w:pPr>
                          </w:p>
                          <w:p w:rsidR="004B28E3" w:rsidRPr="002D36BF" w:rsidRDefault="004B28E3" w:rsidP="002D36BF">
                            <w:pPr>
                              <w:shd w:val="clear" w:color="auto" w:fill="FFFF00"/>
                              <w:jc w:val="left"/>
                            </w:pPr>
                            <w:r w:rsidRPr="002D36BF">
                              <w:rPr>
                                <w:bCs/>
                              </w:rPr>
                              <w:t xml:space="preserve">Nützliche Links zur Vertiefung: </w:t>
                            </w:r>
                            <w:r w:rsidR="002D36BF">
                              <w:rPr>
                                <w:bCs/>
                              </w:rPr>
                              <w:br/>
                            </w:r>
                            <w:hyperlink r:id="rId8" w:history="1">
                              <w:r w:rsidRPr="002D36BF">
                                <w:rPr>
                                  <w:rStyle w:val="Hyperlink"/>
                                </w:rPr>
                                <w:t>Beutelsbacher Konsens</w:t>
                              </w:r>
                            </w:hyperlink>
                            <w:r w:rsidRPr="002D36BF">
                              <w:t xml:space="preserve"> </w:t>
                            </w:r>
                          </w:p>
                          <w:p w:rsidR="004B28E3" w:rsidRPr="00083830" w:rsidRDefault="0076611C" w:rsidP="002D36BF">
                            <w:pPr>
                              <w:shd w:val="clear" w:color="auto" w:fill="FFFF00"/>
                              <w:jc w:val="left"/>
                            </w:pPr>
                            <w:hyperlink r:id="rId9" w:history="1">
                              <w:r w:rsidR="004B28E3" w:rsidRPr="002D36BF">
                                <w:rPr>
                                  <w:rStyle w:val="Hyperlink"/>
                                </w:rPr>
                                <w:t>Verwaltungsvorschrift Werbung, Wettbewerbe und Erhebungen in Schulen</w:t>
                              </w:r>
                            </w:hyperlink>
                          </w:p>
                          <w:p w:rsidR="004B28E3" w:rsidRDefault="004B28E3" w:rsidP="004B28E3">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7AE35E" id="_x0000_t202" coordsize="21600,21600" o:spt="202" path="m,l,21600r21600,l21600,xe">
                <v:stroke joinstyle="miter"/>
                <v:path gradientshapeok="t" o:connecttype="rect"/>
              </v:shapetype>
              <v:shape id="Textfeld 2" o:spid="_x0000_s1026" type="#_x0000_t202" style="position:absolute;left:0;text-align:left;margin-left:148.85pt;margin-top:105.7pt;width:304.4pt;height:27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" fillcolor="window" strokeweight=".5pt">
                <v:textbox>
                  <w:txbxContent>
                    <w:p w:rsidR="002D36BF" w:rsidRDefault="004B28E3" w:rsidP="002D36BF">
                      <w:pPr>
                        <w:shd w:val="clear" w:color="auto" w:fill="FFFF00"/>
                        <w:rPr>
                          <w:bCs/>
                          <w:sz w:val="20"/>
                          <w:szCs w:val="20"/>
                        </w:rPr>
                      </w:pPr>
                      <w:r w:rsidRPr="004B28E3">
                        <w:rPr>
                          <w:bCs/>
                          <w:sz w:val="20"/>
                          <w:szCs w:val="20"/>
                        </w:rPr>
                        <w:t xml:space="preserve">In der Zusammenarbeit zwischen Schulen und Wirtschaft soll zukünftig ein </w:t>
                      </w:r>
                      <w:r w:rsidRPr="002D36BF">
                        <w:rPr>
                          <w:b/>
                          <w:bCs/>
                          <w:sz w:val="20"/>
                          <w:szCs w:val="20"/>
                        </w:rPr>
                        <w:t>Verhaltenskodex</w:t>
                      </w:r>
                      <w:r w:rsidRPr="004B28E3">
                        <w:rPr>
                          <w:bCs/>
                          <w:sz w:val="20"/>
                          <w:szCs w:val="20"/>
                        </w:rPr>
                        <w:t xml:space="preserve"> für Transparenz, Neutralität und Ausgewogenheit in Bildungsangeboten von außerschulischen Partnern für das neue Fach Wirtschaft/Berufs- und Studienorientierung sicherstellen.</w:t>
                      </w:r>
                      <w:r>
                        <w:rPr>
                          <w:bCs/>
                          <w:sz w:val="20"/>
                          <w:szCs w:val="20"/>
                        </w:rPr>
                        <w:t xml:space="preserve"> Verhaltenskodex  </w:t>
                      </w:r>
                    </w:p>
                    <w:p w:rsidR="004B28E3" w:rsidRDefault="0076611C" w:rsidP="002D36BF">
                      <w:pPr>
                        <w:shd w:val="clear" w:color="auto" w:fill="FFFF00"/>
                        <w:rPr>
                          <w:bCs/>
                          <w:sz w:val="20"/>
                          <w:szCs w:val="20"/>
                        </w:rPr>
                      </w:pPr>
                      <w:hyperlink r:id="rId10" w:history="1">
                        <w:r w:rsidR="002D36BF" w:rsidRPr="002D36BF">
                          <w:rPr>
                            <w:rStyle w:val="Hyperlink"/>
                          </w:rPr>
                          <w:t>Verhaltenskodex</w:t>
                        </w:r>
                      </w:hyperlink>
                      <w:r w:rsidR="002D36BF">
                        <w:rPr>
                          <w:bCs/>
                          <w:sz w:val="20"/>
                          <w:szCs w:val="20"/>
                        </w:rPr>
                        <w:t xml:space="preserve"> </w:t>
                      </w:r>
                      <w:r w:rsidR="004B28E3">
                        <w:rPr>
                          <w:bCs/>
                          <w:sz w:val="20"/>
                          <w:szCs w:val="20"/>
                        </w:rPr>
                        <w:t xml:space="preserve"> </w:t>
                      </w:r>
                      <w:r w:rsidR="004B28E3">
                        <w:rPr>
                          <w:noProof/>
                          <w:lang w:eastAsia="de-DE"/>
                        </w:rPr>
                        <w:drawing>
                          <wp:inline distT="0" distB="0" distL="0" distR="0" wp14:anchorId="74C90C12" wp14:editId="5FE1146F">
                            <wp:extent cx="837565" cy="186126"/>
                            <wp:effectExtent l="0" t="0" r="63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6864" t="42040" r="55124" b="54793"/>
                                    <a:stretch/>
                                  </pic:blipFill>
                                  <pic:spPr bwMode="auto">
                                    <a:xfrm>
                                      <a:off x="0" y="0"/>
                                      <a:ext cx="903470" cy="200772"/>
                                    </a:xfrm>
                                    <a:prstGeom prst="rect">
                                      <a:avLst/>
                                    </a:prstGeom>
                                    <a:ln>
                                      <a:noFill/>
                                    </a:ln>
                                    <a:extLst>
                                      <a:ext uri="{53640926-AAD7-44D8-BBD7-CCE9431645EC}">
                                        <a14:shadowObscured xmlns:a14="http://schemas.microsoft.com/office/drawing/2010/main"/>
                                      </a:ext>
                                    </a:extLst>
                                  </pic:spPr>
                                </pic:pic>
                              </a:graphicData>
                            </a:graphic>
                          </wp:inline>
                        </w:drawing>
                      </w:r>
                    </w:p>
                    <w:p w:rsidR="004B28E3" w:rsidRPr="004B28E3" w:rsidRDefault="004B28E3" w:rsidP="002D36BF">
                      <w:pPr>
                        <w:shd w:val="clear" w:color="auto" w:fill="FFFF00"/>
                        <w:rPr>
                          <w:bCs/>
                          <w:sz w:val="20"/>
                          <w:szCs w:val="20"/>
                        </w:rPr>
                      </w:pPr>
                      <w:r w:rsidRPr="004B28E3">
                        <w:rPr>
                          <w:bCs/>
                          <w:sz w:val="20"/>
                          <w:szCs w:val="20"/>
                        </w:rPr>
                        <w:t xml:space="preserve">Eine </w:t>
                      </w:r>
                      <w:r w:rsidRPr="002D36BF">
                        <w:rPr>
                          <w:sz w:val="20"/>
                          <w:szCs w:val="20"/>
                        </w:rPr>
                        <w:t>Handlungshilfe zum Code of Conduct</w:t>
                      </w:r>
                      <w:r w:rsidRPr="004B28E3">
                        <w:rPr>
                          <w:b/>
                          <w:bCs/>
                          <w:sz w:val="20"/>
                          <w:szCs w:val="20"/>
                        </w:rPr>
                        <w:t xml:space="preserve"> </w:t>
                      </w:r>
                      <w:r w:rsidRPr="004B28E3">
                        <w:rPr>
                          <w:bCs/>
                          <w:sz w:val="20"/>
                          <w:szCs w:val="20"/>
                        </w:rPr>
                        <w:t>mit konkreten Fragen zur Orientierung für die Schulen und Lehrkräfte vor Ort ergänzen die Regelungen im Code of Conduct. Auf Landesebene vereinbaren die Partner, sich regelmäßig über die Einhaltung der Grundsätze auszutauschen.</w:t>
                      </w:r>
                    </w:p>
                    <w:p w:rsidR="004B28E3" w:rsidRDefault="0076611C" w:rsidP="002D36BF">
                      <w:pPr>
                        <w:shd w:val="clear" w:color="auto" w:fill="FFFF00"/>
                        <w:jc w:val="left"/>
                      </w:pPr>
                      <w:hyperlink r:id="rId11" w:history="1">
                        <w:r w:rsidR="004B28E3" w:rsidRPr="002D36BF">
                          <w:rPr>
                            <w:rStyle w:val="Hyperlink"/>
                          </w:rPr>
                          <w:t>Handlungshilfe</w:t>
                        </w:r>
                      </w:hyperlink>
                      <w:r w:rsidR="004B28E3">
                        <w:t xml:space="preserve">  </w:t>
                      </w:r>
                      <w:r w:rsidR="004B28E3">
                        <w:rPr>
                          <w:noProof/>
                          <w:lang w:eastAsia="de-DE"/>
                        </w:rPr>
                        <w:drawing>
                          <wp:inline distT="0" distB="0" distL="0" distR="0" wp14:anchorId="58D9D6F1" wp14:editId="3817B59E">
                            <wp:extent cx="837565" cy="186126"/>
                            <wp:effectExtent l="0" t="0" r="63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6864" t="42040" r="55124" b="54793"/>
                                    <a:stretch/>
                                  </pic:blipFill>
                                  <pic:spPr bwMode="auto">
                                    <a:xfrm>
                                      <a:off x="0" y="0"/>
                                      <a:ext cx="903470" cy="200772"/>
                                    </a:xfrm>
                                    <a:prstGeom prst="rect">
                                      <a:avLst/>
                                    </a:prstGeom>
                                    <a:ln>
                                      <a:noFill/>
                                    </a:ln>
                                    <a:extLst>
                                      <a:ext uri="{53640926-AAD7-44D8-BBD7-CCE9431645EC}">
                                        <a14:shadowObscured xmlns:a14="http://schemas.microsoft.com/office/drawing/2010/main"/>
                                      </a:ext>
                                    </a:extLst>
                                  </pic:spPr>
                                </pic:pic>
                              </a:graphicData>
                            </a:graphic>
                          </wp:inline>
                        </w:drawing>
                      </w:r>
                    </w:p>
                    <w:p w:rsidR="00146B53" w:rsidRDefault="00146B53" w:rsidP="002D36BF">
                      <w:pPr>
                        <w:shd w:val="clear" w:color="auto" w:fill="FFFF00"/>
                        <w:rPr>
                          <w:bCs/>
                          <w:sz w:val="20"/>
                          <w:szCs w:val="20"/>
                        </w:rPr>
                      </w:pPr>
                    </w:p>
                    <w:p w:rsidR="004B28E3" w:rsidRPr="002D36BF" w:rsidRDefault="004B28E3" w:rsidP="002D36BF">
                      <w:pPr>
                        <w:shd w:val="clear" w:color="auto" w:fill="FFFF00"/>
                        <w:jc w:val="left"/>
                      </w:pPr>
                      <w:r w:rsidRPr="002D36BF">
                        <w:rPr>
                          <w:bCs/>
                        </w:rPr>
                        <w:t xml:space="preserve">Nützliche Links zur Vertiefung: </w:t>
                      </w:r>
                      <w:r w:rsidR="002D36BF">
                        <w:rPr>
                          <w:bCs/>
                        </w:rPr>
                        <w:br/>
                      </w:r>
                      <w:hyperlink r:id="rId12" w:history="1">
                        <w:r w:rsidRPr="002D36BF">
                          <w:rPr>
                            <w:rStyle w:val="Hyperlink"/>
                          </w:rPr>
                          <w:t>Beutelsbacher Konsens</w:t>
                        </w:r>
                      </w:hyperlink>
                      <w:r w:rsidRPr="002D36BF">
                        <w:t xml:space="preserve"> </w:t>
                      </w:r>
                    </w:p>
                    <w:p w:rsidR="004B28E3" w:rsidRPr="00083830" w:rsidRDefault="0076611C" w:rsidP="002D36BF">
                      <w:pPr>
                        <w:shd w:val="clear" w:color="auto" w:fill="FFFF00"/>
                        <w:jc w:val="left"/>
                      </w:pPr>
                      <w:hyperlink r:id="rId13" w:history="1">
                        <w:r w:rsidR="004B28E3" w:rsidRPr="002D36BF">
                          <w:rPr>
                            <w:rStyle w:val="Hyperlink"/>
                          </w:rPr>
                          <w:t>Verwaltungsvorschrift Werbung, Wettbewerbe und Erhebungen in Schulen</w:t>
                        </w:r>
                      </w:hyperlink>
                    </w:p>
                    <w:p w:rsidR="004B28E3" w:rsidRDefault="004B28E3" w:rsidP="004B28E3">
                      <w:pPr>
                        <w:jc w:val="left"/>
                      </w:pPr>
                    </w:p>
                  </w:txbxContent>
                </v:textbox>
              </v:shape>
            </w:pict>
          </mc:Fallback>
        </mc:AlternateContent>
      </w:r>
      <w:r>
        <w:rPr>
          <w:noProof/>
          <w:lang w:eastAsia="de-DE"/>
        </w:rPr>
        <mc:AlternateContent>
          <mc:Choice Requires="wps">
            <w:drawing>
              <wp:anchor distT="0" distB="0" distL="114300" distR="114300" simplePos="0" relativeHeight="251663360" behindDoc="0" locked="0" layoutInCell="1" allowOverlap="1" wp14:anchorId="599B0DAD" wp14:editId="2C688502">
                <wp:simplePos x="0" y="0"/>
                <wp:positionH relativeFrom="column">
                  <wp:posOffset>1985645</wp:posOffset>
                </wp:positionH>
                <wp:positionV relativeFrom="paragraph">
                  <wp:posOffset>1213485</wp:posOffset>
                </wp:positionV>
                <wp:extent cx="1476000" cy="9525"/>
                <wp:effectExtent l="19050" t="19050" r="29210" b="28575"/>
                <wp:wrapNone/>
                <wp:docPr id="7" name="Gerader Verbinder 7"/>
                <wp:cNvGraphicFramePr/>
                <a:graphic xmlns:a="http://schemas.openxmlformats.org/drawingml/2006/main">
                  <a:graphicData uri="http://schemas.microsoft.com/office/word/2010/wordprocessingShape">
                    <wps:wsp>
                      <wps:cNvCnPr/>
                      <wps:spPr>
                        <a:xfrm flipV="1">
                          <a:off x="0" y="0"/>
                          <a:ext cx="1476000" cy="9525"/>
                        </a:xfrm>
                        <a:prstGeom prst="line">
                          <a:avLst/>
                        </a:prstGeom>
                        <a:noFill/>
                        <a:ln w="381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8CF1E94" id="Gerader Verbinder 7" o:spid="_x0000_s1026" style="position:absolute;flip:y;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6.35pt,95.55pt" to="272.55pt,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" strokecolor="windowText" strokeweight="3pt">
                <v:stroke joinstyle="miter"/>
              </v:line>
            </w:pict>
          </mc:Fallback>
        </mc:AlternateContent>
      </w:r>
      <w:r>
        <w:rPr>
          <w:noProof/>
          <w:lang w:eastAsia="de-DE"/>
        </w:rPr>
        <mc:AlternateContent>
          <mc:Choice Requires="wps">
            <w:drawing>
              <wp:anchor distT="0" distB="0" distL="114300" distR="114300" simplePos="0" relativeHeight="251661312" behindDoc="0" locked="0" layoutInCell="1" allowOverlap="1" wp14:anchorId="71611DBE" wp14:editId="35BEEF58">
                <wp:simplePos x="0" y="0"/>
                <wp:positionH relativeFrom="column">
                  <wp:posOffset>1890395</wp:posOffset>
                </wp:positionH>
                <wp:positionV relativeFrom="paragraph">
                  <wp:posOffset>1089659</wp:posOffset>
                </wp:positionV>
                <wp:extent cx="3352800" cy="9525"/>
                <wp:effectExtent l="19050" t="19050" r="19050" b="28575"/>
                <wp:wrapNone/>
                <wp:docPr id="5" name="Gerader Verbinder 5"/>
                <wp:cNvGraphicFramePr/>
                <a:graphic xmlns:a="http://schemas.openxmlformats.org/drawingml/2006/main">
                  <a:graphicData uri="http://schemas.microsoft.com/office/word/2010/wordprocessingShape">
                    <wps:wsp>
                      <wps:cNvCnPr/>
                      <wps:spPr>
                        <a:xfrm flipV="1">
                          <a:off x="0" y="0"/>
                          <a:ext cx="3352800" cy="9525"/>
                        </a:xfrm>
                        <a:prstGeom prst="line">
                          <a:avLst/>
                        </a:prstGeom>
                        <a:noFill/>
                        <a:ln w="381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B64BEFF" id="Gerader Verbinder 5" o:spid="_x0000_s1026" style="position:absolute;flip:y;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85pt,85.8pt" to="412.85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" strokecolor="windowText" strokeweight="3pt">
                <v:stroke joinstyle="miter"/>
              </v:line>
            </w:pict>
          </mc:Fallback>
        </mc:AlternateContent>
      </w:r>
      <w:r>
        <w:rPr>
          <w:noProof/>
          <w:lang w:eastAsia="de-DE"/>
        </w:rPr>
        <w:drawing>
          <wp:inline distT="0" distB="0" distL="0" distR="0" wp14:anchorId="151C6350" wp14:editId="3F9F1225">
            <wp:extent cx="5751830" cy="3335701"/>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4057" t="29417" r="33187" b="16160"/>
                    <a:stretch/>
                  </pic:blipFill>
                  <pic:spPr bwMode="auto">
                    <a:xfrm>
                      <a:off x="0" y="0"/>
                      <a:ext cx="5763094" cy="3342234"/>
                    </a:xfrm>
                    <a:prstGeom prst="rect">
                      <a:avLst/>
                    </a:prstGeom>
                    <a:ln>
                      <a:noFill/>
                    </a:ln>
                    <a:extLst>
                      <a:ext uri="{53640926-AAD7-44D8-BBD7-CCE9431645EC}">
                        <a14:shadowObscured xmlns:a14="http://schemas.microsoft.com/office/drawing/2010/main"/>
                      </a:ext>
                    </a:extLst>
                  </pic:spPr>
                </pic:pic>
              </a:graphicData>
            </a:graphic>
          </wp:inline>
        </w:drawing>
      </w:r>
    </w:p>
    <w:p w:rsidR="004B28E3" w:rsidRDefault="004B28E3"/>
    <w:p w:rsidR="004B28E3" w:rsidRDefault="004B28E3"/>
    <w:p w:rsidR="004B28E3" w:rsidRDefault="004B28E3"/>
    <w:p w:rsidR="004279DE" w:rsidRDefault="004279DE"/>
    <w:p w:rsidR="004B28E3" w:rsidRDefault="004B28E3"/>
    <w:p w:rsidR="004B28E3" w:rsidRDefault="004B28E3">
      <w:pPr>
        <w:rPr>
          <w:lang w:val="en-AU"/>
        </w:rPr>
      </w:pPr>
    </w:p>
    <w:p w:rsidR="004B28E3" w:rsidRDefault="004B28E3" w:rsidP="0076611C">
      <w:pPr>
        <w:jc w:val="left"/>
        <w:rPr>
          <w:lang w:val="en-AU"/>
        </w:rPr>
      </w:pPr>
      <w:r w:rsidRPr="004B28E3">
        <w:rPr>
          <w:lang w:val="en-AU"/>
        </w:rPr>
        <w:t>Text Verhaltenskodex:</w:t>
      </w:r>
      <w:r w:rsidR="0076611C">
        <w:rPr>
          <w:lang w:val="en-AU"/>
        </w:rPr>
        <w:br/>
      </w:r>
      <w:hyperlink r:id="rId15" w:history="1">
        <w:r w:rsidRPr="003E5D57">
          <w:rPr>
            <w:rStyle w:val="Hyperlink"/>
            <w:lang w:val="en-AU"/>
          </w:rPr>
          <w:t>http://km-bw.de/site/pbs-bw-new/get/documents/KULTUS.Dachmandant/KULTUS/KM-Homepage/Pressemitteilungen/Pressemitteilungen%202015/2015%2011%2023%20Handlungshilfen%20zum%20Code%20of%20Conduct%20.pdf</w:t>
        </w:r>
      </w:hyperlink>
    </w:p>
    <w:p w:rsidR="004B28E3" w:rsidRDefault="004B28E3">
      <w:pPr>
        <w:rPr>
          <w:lang w:val="en-AU"/>
        </w:rPr>
      </w:pPr>
    </w:p>
    <w:p w:rsidR="00146B53" w:rsidRPr="0076611C" w:rsidRDefault="004B28E3" w:rsidP="0076611C">
      <w:pPr>
        <w:jc w:val="left"/>
      </w:pPr>
      <w:r w:rsidRPr="0076611C">
        <w:t>Text Handlungshilfe:</w:t>
      </w:r>
      <w:r w:rsidR="0076611C" w:rsidRPr="0076611C">
        <w:t xml:space="preserve"> </w:t>
      </w:r>
      <w:r w:rsidR="0076611C" w:rsidRPr="0076611C">
        <w:br/>
      </w:r>
      <w:hyperlink r:id="rId16" w:history="1">
        <w:r w:rsidR="00146B53" w:rsidRPr="0076611C">
          <w:rPr>
            <w:rStyle w:val="Hyperlink"/>
          </w:rPr>
          <w:t>http://km-bw.de/site/pbs-bw-new/get/documents/KULTUS.Dachmandant/KULTUS/KM-Homepage/Pressemitteilungen/Pressemitteilungen%202015/2015%2011%2023%20Handlungshilfen%20zum%20Code%20of%20Conduct%20.pdf</w:t>
        </w:r>
      </w:hyperlink>
    </w:p>
    <w:p w:rsidR="00146B53" w:rsidRPr="0076611C" w:rsidRDefault="00146B53"/>
    <w:p w:rsidR="0076611C" w:rsidRDefault="0076611C" w:rsidP="0076611C">
      <w:pPr>
        <w:jc w:val="left"/>
      </w:pPr>
      <w:r w:rsidRPr="0076611C">
        <w:t>Text Beutelsbacher Konsens:</w:t>
      </w:r>
      <w:r>
        <w:t xml:space="preserve"> </w:t>
      </w:r>
      <w:r w:rsidRPr="0076611C">
        <w:br/>
      </w:r>
      <w:hyperlink r:id="rId17" w:history="1">
        <w:r w:rsidRPr="001656DA">
          <w:rPr>
            <w:rStyle w:val="Hyperlink"/>
          </w:rPr>
          <w:t>http://www.bpb.de/die-bpb/51310/beutelsbacher-konsens</w:t>
        </w:r>
      </w:hyperlink>
    </w:p>
    <w:p w:rsidR="0076611C" w:rsidRDefault="0076611C" w:rsidP="0076611C">
      <w:pPr>
        <w:jc w:val="left"/>
      </w:pPr>
    </w:p>
    <w:p w:rsidR="0076611C" w:rsidRDefault="0076611C" w:rsidP="0076611C">
      <w:pPr>
        <w:jc w:val="left"/>
        <w:rPr>
          <w:lang w:val="en-AU"/>
        </w:rPr>
      </w:pPr>
      <w:r w:rsidRPr="0076611C">
        <w:rPr>
          <w:lang w:val="en-AU"/>
        </w:rPr>
        <w:t>Text Verwaltungsvo</w:t>
      </w:r>
      <w:bookmarkStart w:id="0" w:name="_GoBack"/>
      <w:bookmarkEnd w:id="0"/>
      <w:r w:rsidRPr="0076611C">
        <w:rPr>
          <w:lang w:val="en-AU"/>
        </w:rPr>
        <w:t>rschrift:</w:t>
      </w:r>
      <w:r w:rsidRPr="0076611C">
        <w:rPr>
          <w:lang w:val="en-AU"/>
        </w:rPr>
        <w:br/>
      </w:r>
      <w:hyperlink r:id="rId18" w:history="1">
        <w:r w:rsidRPr="001656DA">
          <w:rPr>
            <w:rStyle w:val="Hyperlink"/>
            <w:lang w:val="en-AU"/>
          </w:rPr>
          <w:t>http://www.landesrecht-bw.de/jportal/?quelle=jlink&amp;query=VVBW-220-KM-19850805-SF&amp;psml=bsbawueprod.psml&amp;max=true</w:t>
        </w:r>
      </w:hyperlink>
    </w:p>
    <w:p w:rsidR="0076611C" w:rsidRPr="0076611C" w:rsidRDefault="0076611C" w:rsidP="0076611C">
      <w:pPr>
        <w:jc w:val="left"/>
        <w:rPr>
          <w:lang w:val="en-AU"/>
        </w:rPr>
      </w:pPr>
    </w:p>
    <w:p w:rsidR="0076611C" w:rsidRPr="0076611C" w:rsidRDefault="0076611C" w:rsidP="0076611C">
      <w:pPr>
        <w:jc w:val="left"/>
        <w:rPr>
          <w:lang w:val="en-AU"/>
        </w:rPr>
      </w:pPr>
    </w:p>
    <w:sectPr w:rsidR="0076611C" w:rsidRPr="0076611C" w:rsidSect="000346DC">
      <w:pgSz w:w="11906" w:h="16838"/>
      <w:pgMar w:top="1134" w:right="1418" w:bottom="1134" w:left="1418" w:header="709" w:footer="62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F4148"/>
    <w:multiLevelType w:val="hybridMultilevel"/>
    <w:tmpl w:val="0D689B5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8E3"/>
    <w:rsid w:val="000346DC"/>
    <w:rsid w:val="00146B53"/>
    <w:rsid w:val="002D36BF"/>
    <w:rsid w:val="004279DE"/>
    <w:rsid w:val="004B28E3"/>
    <w:rsid w:val="00604E40"/>
    <w:rsid w:val="0076611C"/>
    <w:rsid w:val="008837A6"/>
    <w:rsid w:val="00C96986"/>
    <w:rsid w:val="00F76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145DA"/>
  <w15:chartTrackingRefBased/>
  <w15:docId w15:val="{90BE8A50-08DE-41F7-AAD5-6AA5AAD0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2"/>
        <w:lang w:val="de-DE" w:eastAsia="en-US"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B28E3"/>
    <w:pPr>
      <w:spacing w:after="160"/>
    </w:pPr>
    <w:rPr>
      <w:rFonts w:asciiTheme="minorHAnsi" w:hAnsiTheme="minorHAnsi" w:cstheme="minorBid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28E3"/>
    <w:rPr>
      <w:color w:val="0563C1" w:themeColor="hyperlink"/>
      <w:u w:val="single"/>
    </w:rPr>
  </w:style>
  <w:style w:type="paragraph" w:styleId="Listenabsatz">
    <w:name w:val="List Paragraph"/>
    <w:basedOn w:val="Standard"/>
    <w:uiPriority w:val="34"/>
    <w:qFormat/>
    <w:rsid w:val="00146B53"/>
    <w:pPr>
      <w:ind w:left="720"/>
      <w:contextualSpacing/>
    </w:pPr>
  </w:style>
  <w:style w:type="character" w:styleId="BesuchterLink">
    <w:name w:val="FollowedHyperlink"/>
    <w:basedOn w:val="Absatz-Standardschriftart"/>
    <w:uiPriority w:val="99"/>
    <w:semiHidden/>
    <w:unhideWhenUsed/>
    <w:rsid w:val="007661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die-bpb/51310/beutelsbacher-konsens" TargetMode="External"/><Relationship Id="rId13" Type="http://schemas.openxmlformats.org/officeDocument/2006/relationships/hyperlink" Target="http://www.landesrecht-bw.de/jportal/?quelle=jlink&amp;query=VVBW-220-KM-19850805-SF&amp;psml=bsbawueprod.psml&amp;max=true" TargetMode="External"/><Relationship Id="rId18" Type="http://schemas.openxmlformats.org/officeDocument/2006/relationships/hyperlink" Target="http://www.landesrecht-bw.de/jportal/?quelle=jlink&amp;query=VVBW-220-KM-19850805-SF&amp;psml=bsbawueprod.psml&amp;max=true" TargetMode="External"/><Relationship Id="rId3" Type="http://schemas.openxmlformats.org/officeDocument/2006/relationships/settings" Target="settings.xml"/><Relationship Id="rId7" Type="http://schemas.openxmlformats.org/officeDocument/2006/relationships/hyperlink" Target="http://km-bw.de/site/pbs-bw-new/get/documents/KULTUS.Dachmandant/KULTUS/KM-Homepage/Pressemitteilungen/Pressemitteilungen%202015/2015%2011%2023%20Handlungshilfen%20zum%20Code%20of%20Conduct%20.pdf" TargetMode="External"/><Relationship Id="rId12" Type="http://schemas.openxmlformats.org/officeDocument/2006/relationships/hyperlink" Target="https://www.bpb.de/die-bpb/51310/beutelsbacher-konsens" TargetMode="External"/><Relationship Id="rId17" Type="http://schemas.openxmlformats.org/officeDocument/2006/relationships/hyperlink" Target="http://www.bpb.de/die-bpb/51310/beutelsbacher-konsens" TargetMode="External"/><Relationship Id="rId2" Type="http://schemas.openxmlformats.org/officeDocument/2006/relationships/styles" Target="styles.xml"/><Relationship Id="rId16" Type="http://schemas.openxmlformats.org/officeDocument/2006/relationships/hyperlink" Target="http://km-bw.de/site/pbs-bw-new/get/documents/KULTUS.Dachmandant/KULTUS/KM-Homepage/Pressemitteilungen/Pressemitteilungen%202015/2015%2011%2023%20Handlungshilfen%20zum%20Code%20of%20Conduct%20.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km-bw.de/site/pbs-bw-new/get/documents/KULTUS.Dachmandant/KULTUS/KM-Homepage/Pressemitteilungen/Pressemitteilungen%202015/2015%2011%2023%20Handlungshilfen%20zum%20Code%20of%20Conduct%20.pdf" TargetMode="External"/><Relationship Id="rId5" Type="http://schemas.openxmlformats.org/officeDocument/2006/relationships/hyperlink" Target="http://km-bw.de/site/pbs-bw-new/get/documents/KULTUS.Dachmandant/KULTUS/KM-Homepage/Pressemitteilungen/Pressemitteilungen%202015/2015%2011%2023%20Handlungshilfen%20zum%20Code%20of%20Conduct%20.pdf" TargetMode="External"/><Relationship Id="rId15" Type="http://schemas.openxmlformats.org/officeDocument/2006/relationships/hyperlink" Target="http://km-bw.de/site/pbs-bw-new/get/documents/KULTUS.Dachmandant/KULTUS/KM-Homepage/Pressemitteilungen/Pressemitteilungen%202015/2015%2011%2023%20Handlungshilfen%20zum%20Code%20of%20Conduct%20.pdf" TargetMode="External"/><Relationship Id="rId10" Type="http://schemas.openxmlformats.org/officeDocument/2006/relationships/hyperlink" Target="http://km-bw.de/site/pbs-bw-new/get/documents/KULTUS.Dachmandant/KULTUS/KM-Homepage/Pressemitteilungen/Pressemitteilungen%202015/2015%2011%2023%20Handlungshilfen%20zum%20Code%20of%20Conduct%20.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andesrecht-bw.de/jportal/?quelle=jlink&amp;query=VVBW-220-KM-19850805-SF&amp;psml=bsbawueprod.psml&amp;max=true" TargetMode="External"/><Relationship Id="rId1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1140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Gaffal</dc:creator>
  <cp:keywords/>
  <dc:description/>
  <cp:lastModifiedBy>Hans Gaffal</cp:lastModifiedBy>
  <cp:revision>4</cp:revision>
  <dcterms:created xsi:type="dcterms:W3CDTF">2016-12-07T08:08:00Z</dcterms:created>
  <dcterms:modified xsi:type="dcterms:W3CDTF">2017-01-02T15:43:00Z</dcterms:modified>
</cp:coreProperties>
</file>