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05E5" w14:textId="77777777" w:rsidR="008A5630" w:rsidRPr="008A5630" w:rsidRDefault="008A5630" w:rsidP="006934BF">
      <w:pPr>
        <w:jc w:val="center"/>
        <w:rPr>
          <w:b/>
          <w:bCs/>
          <w:sz w:val="24"/>
          <w:szCs w:val="24"/>
        </w:rPr>
      </w:pPr>
      <w:r w:rsidRPr="008A5630">
        <w:rPr>
          <w:b/>
          <w:bCs/>
          <w:sz w:val="24"/>
          <w:szCs w:val="24"/>
        </w:rPr>
        <w:t xml:space="preserve">Das </w:t>
      </w:r>
      <w:proofErr w:type="spellStart"/>
      <w:r w:rsidRPr="008A5630">
        <w:rPr>
          <w:b/>
          <w:bCs/>
          <w:sz w:val="24"/>
          <w:szCs w:val="24"/>
        </w:rPr>
        <w:t>Couvertspiel</w:t>
      </w:r>
      <w:proofErr w:type="spellEnd"/>
      <w:r w:rsidRPr="008A5630">
        <w:rPr>
          <w:b/>
          <w:bCs/>
          <w:sz w:val="24"/>
          <w:szCs w:val="24"/>
        </w:rPr>
        <w:t xml:space="preserve"> (Gefangenendilemma)</w:t>
      </w:r>
    </w:p>
    <w:p w14:paraId="5E7EC82E" w14:textId="77777777" w:rsidR="008A5630" w:rsidRPr="008A5630" w:rsidRDefault="008A5630">
      <w:pPr>
        <w:rPr>
          <w:b/>
          <w:bCs/>
        </w:rPr>
      </w:pPr>
      <w:r w:rsidRPr="008A5630">
        <w:rPr>
          <w:b/>
          <w:bCs/>
        </w:rPr>
        <w:t>Aufgabe:</w:t>
      </w:r>
    </w:p>
    <w:p w14:paraId="40D26A12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 xml:space="preserve">Sie erhalten ein Startkapital (z.B. </w:t>
      </w:r>
      <w:r>
        <w:t>eine Gummibärchenpackung</w:t>
      </w:r>
      <w:r w:rsidRPr="008A5630">
        <w:t>), aus welchem es möglichst viel herauszuholen gilt.</w:t>
      </w:r>
    </w:p>
    <w:p w14:paraId="633C1AD0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>Entscheiden Sie ohne Absprache mit anderen Spielenden, ob Sie Ihr</w:t>
      </w:r>
      <w:r>
        <w:t>e</w:t>
      </w:r>
      <w:r w:rsidRPr="008A5630">
        <w:t xml:space="preserve"> </w:t>
      </w:r>
      <w:r>
        <w:t>Gummibärchenpackung</w:t>
      </w:r>
      <w:r w:rsidRPr="008A5630">
        <w:t xml:space="preserve"> in Ihr Couvert stecken oder für sich behalten. </w:t>
      </w:r>
    </w:p>
    <w:p w14:paraId="13DD9B72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>Beschriften Sie Ihr Couvert mit Ihrem Namen und geben Sie es bei Aufforderung der Spielleitung ab.</w:t>
      </w:r>
    </w:p>
    <w:p w14:paraId="37A11DE3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>Anschließend werden zufällig je zwei Spielende einander zugeteilt. Diese tauschen ihre Couverts und erhalten jeweils den Inhalt des Couverts des Gegenübers.</w:t>
      </w:r>
    </w:p>
    <w:p w14:paraId="3B044D28" w14:textId="77777777" w:rsidR="00282C84" w:rsidRDefault="008A5630" w:rsidP="008A5630">
      <w:pPr>
        <w:pStyle w:val="Listenabsatz"/>
        <w:numPr>
          <w:ilvl w:val="0"/>
          <w:numId w:val="1"/>
        </w:numPr>
      </w:pPr>
      <w:r w:rsidRPr="008A5630">
        <w:t xml:space="preserve">Jede sich in einem Couvert befindende </w:t>
      </w:r>
      <w:r>
        <w:t>Gummibärchenpackung</w:t>
      </w:r>
      <w:r w:rsidRPr="008A5630">
        <w:t xml:space="preserve"> wird dabei verdoppelt.</w:t>
      </w:r>
    </w:p>
    <w:p w14:paraId="2F10BA25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 xml:space="preserve">Ihr erzieltes Ergebnis (z.B. Anzahl </w:t>
      </w:r>
      <w:r>
        <w:t>Gummibärchenpackung</w:t>
      </w:r>
      <w:r w:rsidRPr="008A5630">
        <w:t xml:space="preserve">) besteht aus dem, was Sie aus dem Couvert des zugewiesenen Teilnehmenden erhalten, und einem </w:t>
      </w:r>
      <w:r>
        <w:t>u.U.</w:t>
      </w:r>
      <w:r w:rsidRPr="008A5630">
        <w:t xml:space="preserve"> </w:t>
      </w:r>
      <w:r>
        <w:t>ein</w:t>
      </w:r>
      <w:r w:rsidRPr="008A5630">
        <w:t>behaltenen Startkapital.</w:t>
      </w:r>
    </w:p>
    <w:p w14:paraId="2FC1E347" w14:textId="77777777" w:rsidR="008A5630" w:rsidRDefault="008A5630" w:rsidP="008A5630">
      <w:pPr>
        <w:pStyle w:val="Listenabsatz"/>
        <w:numPr>
          <w:ilvl w:val="0"/>
          <w:numId w:val="1"/>
        </w:numPr>
      </w:pPr>
      <w:r w:rsidRPr="008A5630">
        <w:t>Dies lässt sich wie folgt zusammenfassen:</w:t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020"/>
        <w:gridCol w:w="3803"/>
        <w:gridCol w:w="3804"/>
      </w:tblGrid>
      <w:tr w:rsidR="008A5630" w14:paraId="0B6C8909" w14:textId="77777777" w:rsidTr="006934BF">
        <w:tc>
          <w:tcPr>
            <w:tcW w:w="3020" w:type="dxa"/>
          </w:tcPr>
          <w:p w14:paraId="3C38D95C" w14:textId="77777777" w:rsidR="008A5630" w:rsidRDefault="008A5630"/>
        </w:tc>
        <w:tc>
          <w:tcPr>
            <w:tcW w:w="3803" w:type="dxa"/>
          </w:tcPr>
          <w:p w14:paraId="6BF76B98" w14:textId="77777777" w:rsidR="008A5630" w:rsidRDefault="008A5630">
            <w:r w:rsidRPr="008A5630">
              <w:t>Das zugewiesene Couvert war voll</w:t>
            </w:r>
          </w:p>
        </w:tc>
        <w:tc>
          <w:tcPr>
            <w:tcW w:w="3804" w:type="dxa"/>
          </w:tcPr>
          <w:p w14:paraId="0DE7A9DF" w14:textId="77777777" w:rsidR="008A5630" w:rsidRDefault="008A5630">
            <w:r w:rsidRPr="008A5630">
              <w:t>Das zugewiesene Couvert war leer</w:t>
            </w:r>
          </w:p>
        </w:tc>
      </w:tr>
      <w:tr w:rsidR="008A5630" w14:paraId="6D71340D" w14:textId="77777777" w:rsidTr="006934BF">
        <w:tc>
          <w:tcPr>
            <w:tcW w:w="3020" w:type="dxa"/>
          </w:tcPr>
          <w:p w14:paraId="5DD1DA83" w14:textId="77777777" w:rsidR="008A5630" w:rsidRDefault="008A5630">
            <w:r w:rsidRPr="008A5630">
              <w:t>Sie haben Ihr</w:t>
            </w:r>
            <w:r>
              <w:t>e</w:t>
            </w:r>
            <w:r w:rsidRPr="008A5630">
              <w:t xml:space="preserve"> </w:t>
            </w:r>
            <w:r>
              <w:t>Packung</w:t>
            </w:r>
            <w:r w:rsidRPr="008A5630">
              <w:t xml:space="preserve"> ins Couvert gesteckt</w:t>
            </w:r>
          </w:p>
        </w:tc>
        <w:tc>
          <w:tcPr>
            <w:tcW w:w="3803" w:type="dxa"/>
          </w:tcPr>
          <w:p w14:paraId="56B8AEED" w14:textId="77777777" w:rsidR="008A5630" w:rsidRDefault="008A5630">
            <w:r>
              <w:t>2</w:t>
            </w:r>
          </w:p>
        </w:tc>
        <w:tc>
          <w:tcPr>
            <w:tcW w:w="3804" w:type="dxa"/>
          </w:tcPr>
          <w:p w14:paraId="061BA40D" w14:textId="77777777" w:rsidR="008A5630" w:rsidRDefault="008A5630">
            <w:r>
              <w:t>0</w:t>
            </w:r>
          </w:p>
        </w:tc>
      </w:tr>
      <w:tr w:rsidR="008A5630" w14:paraId="108A5B3B" w14:textId="77777777" w:rsidTr="006934BF">
        <w:tc>
          <w:tcPr>
            <w:tcW w:w="3020" w:type="dxa"/>
          </w:tcPr>
          <w:p w14:paraId="2AE6D2CE" w14:textId="77777777" w:rsidR="008A5630" w:rsidRDefault="008A5630">
            <w:r w:rsidRPr="008A5630">
              <w:t>Sie haben Ihre Packung</w:t>
            </w:r>
            <w:r>
              <w:t xml:space="preserve"> behalten</w:t>
            </w:r>
          </w:p>
        </w:tc>
        <w:tc>
          <w:tcPr>
            <w:tcW w:w="3803" w:type="dxa"/>
          </w:tcPr>
          <w:p w14:paraId="7431FAE1" w14:textId="77777777" w:rsidR="008A5630" w:rsidRDefault="008A5630">
            <w:r>
              <w:t>3</w:t>
            </w:r>
          </w:p>
        </w:tc>
        <w:tc>
          <w:tcPr>
            <w:tcW w:w="3804" w:type="dxa"/>
          </w:tcPr>
          <w:p w14:paraId="3C7285F8" w14:textId="77777777" w:rsidR="008A5630" w:rsidRDefault="008A5630">
            <w:r>
              <w:t>1</w:t>
            </w:r>
          </w:p>
        </w:tc>
      </w:tr>
    </w:tbl>
    <w:p w14:paraId="26DA9BA2" w14:textId="77777777" w:rsidR="008A5630" w:rsidRDefault="008A5630"/>
    <w:p w14:paraId="2B916E58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Bezug zum Bildungsplan (ibKs)</w:t>
      </w:r>
    </w:p>
    <w:p w14:paraId="0542ED4E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>
        <w:rPr>
          <w:rFonts w:ascii="Calibri" w:eastAsia="Times New Roman" w:hAnsi="Calibri" w:cs="Times New Roman"/>
          <w:b/>
          <w:bCs/>
          <w:lang w:eastAsia="de-DE"/>
        </w:rPr>
        <w:t>Grundlagen der Ökonomie:</w:t>
      </w:r>
    </w:p>
    <w:p w14:paraId="739679D0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(1) </w:t>
      </w:r>
      <w:r>
        <w:rPr>
          <w:rFonts w:ascii="Calibri" w:eastAsia="Times New Roman" w:hAnsi="Calibri" w:cs="Times New Roman"/>
          <w:b/>
          <w:bCs/>
          <w:lang w:eastAsia="de-DE"/>
        </w:rPr>
        <w:t>Einflussfaktoren auf ökonomisches Verhalten</w:t>
      </w:r>
      <w:r>
        <w:rPr>
          <w:rFonts w:ascii="Calibri" w:eastAsia="Times New Roman" w:hAnsi="Calibri" w:cs="Times New Roman"/>
          <w:lang w:eastAsia="de-DE"/>
        </w:rPr>
        <w:t xml:space="preserve"> (Handeln nach Präferenzen, Reagieren auf Anreize und Restriktionen) anhand verschiedener Erklärungsansätze (Rationalitätshypothese beziehungsweise </w:t>
      </w:r>
      <w:r>
        <w:rPr>
          <w:rFonts w:ascii="Calibri" w:eastAsia="Times New Roman" w:hAnsi="Calibri" w:cs="Times New Roman"/>
          <w:b/>
          <w:bCs/>
          <w:lang w:eastAsia="de-DE"/>
        </w:rPr>
        <w:t>begrenzte Rationalität)</w:t>
      </w:r>
      <w:r>
        <w:rPr>
          <w:rFonts w:ascii="Calibri" w:eastAsia="Times New Roman" w:hAnsi="Calibri" w:cs="Times New Roman"/>
          <w:lang w:eastAsia="de-DE"/>
        </w:rPr>
        <w:t xml:space="preserve"> beschreiben und deren Aussagekraft beurteilen</w:t>
      </w:r>
    </w:p>
    <w:p w14:paraId="6ECC0E68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6934BF">
        <w:rPr>
          <w:rFonts w:ascii="Calibri" w:eastAsia="Times New Roman" w:hAnsi="Calibri" w:cs="Times New Roman"/>
          <w:lang w:eastAsia="de-DE"/>
        </w:rPr>
        <w:t>(3) sowohl individuelle als auch gesellschaftliche Dilemmasituationen (</w:t>
      </w:r>
      <w:r w:rsidRPr="006934BF">
        <w:rPr>
          <w:rFonts w:ascii="Calibri" w:eastAsia="Times New Roman" w:hAnsi="Calibri" w:cs="Times New Roman"/>
          <w:b/>
          <w:bCs/>
          <w:lang w:eastAsia="de-DE"/>
        </w:rPr>
        <w:t>Gefangenendilemma</w:t>
      </w:r>
      <w:r w:rsidRPr="006934BF">
        <w:rPr>
          <w:rFonts w:ascii="Calibri" w:eastAsia="Times New Roman" w:hAnsi="Calibri" w:cs="Times New Roman"/>
          <w:lang w:eastAsia="de-DE"/>
        </w:rPr>
        <w:t xml:space="preserve">, </w:t>
      </w:r>
      <w:r w:rsidRPr="006934BF">
        <w:rPr>
          <w:rFonts w:ascii="Calibri" w:eastAsia="Times New Roman" w:hAnsi="Calibri" w:cs="Times New Roman"/>
          <w:b/>
          <w:bCs/>
          <w:lang w:eastAsia="de-DE"/>
        </w:rPr>
        <w:t>Trittbrettfahrersituation</w:t>
      </w:r>
      <w:r w:rsidRPr="006934BF">
        <w:rPr>
          <w:rFonts w:ascii="Calibri" w:eastAsia="Times New Roman" w:hAnsi="Calibri" w:cs="Times New Roman"/>
          <w:lang w:eastAsia="de-DE"/>
        </w:rPr>
        <w:t>) erklären und das Verhalten der Akteure in diesen Situationen bewerten</w:t>
      </w:r>
    </w:p>
    <w:p w14:paraId="255190B6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(5) Ursachen für Marktversagen (zum Beispiel </w:t>
      </w:r>
      <w:r>
        <w:rPr>
          <w:rFonts w:ascii="Calibri" w:eastAsia="Times New Roman" w:hAnsi="Calibri" w:cs="Times New Roman"/>
          <w:b/>
          <w:bCs/>
          <w:lang w:eastAsia="de-DE"/>
        </w:rPr>
        <w:t>Marktmacht</w:t>
      </w:r>
      <w:r>
        <w:rPr>
          <w:rFonts w:ascii="Calibri" w:eastAsia="Times New Roman" w:hAnsi="Calibri" w:cs="Times New Roman"/>
          <w:lang w:eastAsia="de-DE"/>
        </w:rPr>
        <w:t xml:space="preserve">, Externalitäten, </w:t>
      </w:r>
      <w:r>
        <w:rPr>
          <w:rFonts w:ascii="Calibri" w:eastAsia="Times New Roman" w:hAnsi="Calibri" w:cs="Times New Roman"/>
          <w:b/>
          <w:bCs/>
          <w:lang w:eastAsia="de-DE"/>
        </w:rPr>
        <w:t>Informationsasymmetrien</w:t>
      </w:r>
      <w:r>
        <w:rPr>
          <w:rFonts w:ascii="Calibri" w:eastAsia="Times New Roman" w:hAnsi="Calibri" w:cs="Times New Roman"/>
          <w:lang w:eastAsia="de-DE"/>
        </w:rPr>
        <w:t>) darstellen und Lösungsmöglichkeiten erläutern</w:t>
      </w:r>
    </w:p>
    <w:p w14:paraId="4529635E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>
        <w:rPr>
          <w:rFonts w:ascii="Calibri" w:eastAsia="Times New Roman" w:hAnsi="Calibri" w:cs="Times New Roman"/>
          <w:b/>
          <w:bCs/>
          <w:lang w:eastAsia="de-DE"/>
        </w:rPr>
        <w:t>Globale Gütermärkte:</w:t>
      </w:r>
    </w:p>
    <w:p w14:paraId="5FD5F167" w14:textId="77777777" w:rsid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6934BF">
        <w:rPr>
          <w:rFonts w:ascii="Calibri" w:eastAsia="Times New Roman" w:hAnsi="Calibri" w:cs="Times New Roman"/>
          <w:lang w:eastAsia="de-DE"/>
        </w:rPr>
        <w:t>(9) die Wirkung eines internationalen Umwelt- beziehungsweise Sozialabkommens im Hinblick auf verschiedene Akteure analysieren (zum Beispiel Paris-Abkommen, ILO-Regelwerk )</w:t>
      </w:r>
    </w:p>
    <w:p w14:paraId="2D9AD79B" w14:textId="77777777" w:rsidR="006934BF" w:rsidRP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6934BF">
        <w:rPr>
          <w:rFonts w:ascii="Calibri" w:eastAsia="Times New Roman" w:hAnsi="Calibri" w:cs="Times New Roman"/>
          <w:b/>
          <w:bCs/>
          <w:lang w:eastAsia="de-DE"/>
        </w:rPr>
        <w:t>Internationale Finanzmärkte</w:t>
      </w:r>
    </w:p>
    <w:p w14:paraId="284E3153" w14:textId="77777777" w:rsidR="008A5630" w:rsidRPr="006934BF" w:rsidRDefault="006934BF" w:rsidP="0069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>(1) die Motive von Akteuren (</w:t>
      </w:r>
      <w:r>
        <w:rPr>
          <w:rFonts w:ascii="Calibri" w:eastAsia="Times New Roman" w:hAnsi="Calibri" w:cs="Times New Roman"/>
          <w:b/>
          <w:bCs/>
          <w:lang w:eastAsia="de-DE"/>
        </w:rPr>
        <w:t>Verhaltensökonomik</w:t>
      </w:r>
      <w:r>
        <w:rPr>
          <w:rFonts w:ascii="Calibri" w:eastAsia="Times New Roman" w:hAnsi="Calibri" w:cs="Times New Roman"/>
          <w:lang w:eastAsia="de-DE"/>
        </w:rPr>
        <w:t>) auf Finanzmärkten (Geld-, Kapital- und Devisen-märkte) erläutern und verschiedene Anlageformen (Anleihen, Devisen, Derivate) darstellen</w:t>
      </w:r>
    </w:p>
    <w:p w14:paraId="5AC6F2BA" w14:textId="3CBB3E84" w:rsidR="008A5630" w:rsidRDefault="008A5630" w:rsidP="008A5630"/>
    <w:p w14:paraId="1D5A9E8B" w14:textId="77777777" w:rsidR="008A5630" w:rsidRDefault="008A5630" w:rsidP="008A5630">
      <w:r>
        <w:t xml:space="preserve">Hinweise zur Durchführung, Hintergründe, Auswertung etc.: </w:t>
      </w:r>
      <w:hyperlink r:id="rId5" w:history="1">
        <w:r w:rsidRPr="006C3A85">
          <w:rPr>
            <w:rStyle w:val="Hyperlink"/>
          </w:rPr>
          <w:t>https://www.iconomix.ch/de/module/a006/</w:t>
        </w:r>
      </w:hyperlink>
    </w:p>
    <w:p w14:paraId="3880ED39" w14:textId="77777777" w:rsidR="008A5630" w:rsidRPr="008A5630" w:rsidRDefault="006934BF" w:rsidP="008A563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DC476F" wp14:editId="72AD5C71">
            <wp:simplePos x="0" y="0"/>
            <wp:positionH relativeFrom="column">
              <wp:posOffset>5372100</wp:posOffset>
            </wp:positionH>
            <wp:positionV relativeFrom="paragraph">
              <wp:posOffset>41910</wp:posOffset>
            </wp:positionV>
            <wp:extent cx="1256400" cy="1256400"/>
            <wp:effectExtent l="0" t="0" r="1270" b="1270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630" w:rsidRPr="008A5630" w:rsidSect="008A5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44E27"/>
    <w:multiLevelType w:val="hybridMultilevel"/>
    <w:tmpl w:val="0C0A3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30"/>
    <w:rsid w:val="00282C84"/>
    <w:rsid w:val="002C0FFD"/>
    <w:rsid w:val="00401E06"/>
    <w:rsid w:val="00422CEC"/>
    <w:rsid w:val="006934BF"/>
    <w:rsid w:val="00724896"/>
    <w:rsid w:val="00802438"/>
    <w:rsid w:val="008A5630"/>
    <w:rsid w:val="009377F8"/>
    <w:rsid w:val="009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E7F4"/>
  <w15:chartTrackingRefBased/>
  <w15:docId w15:val="{1C406391-8D3E-4BDA-B081-60F9605E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65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655"/>
    <w:rPr>
      <w:rFonts w:eastAsiaTheme="majorEastAsia" w:cstheme="majorBidi"/>
      <w:b/>
      <w:color w:val="000000" w:themeColor="text1"/>
      <w:sz w:val="32"/>
      <w:szCs w:val="32"/>
    </w:rPr>
  </w:style>
  <w:style w:type="table" w:styleId="Tabellenraster">
    <w:name w:val="Table Grid"/>
    <w:basedOn w:val="NormaleTabelle"/>
    <w:uiPriority w:val="39"/>
    <w:rsid w:val="008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563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A56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conomix.ch/de/module/a0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3</cp:revision>
  <dcterms:created xsi:type="dcterms:W3CDTF">2020-06-05T15:33:00Z</dcterms:created>
  <dcterms:modified xsi:type="dcterms:W3CDTF">2020-06-05T15:33:00Z</dcterms:modified>
</cp:coreProperties>
</file>