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601" w:rsidRPr="00BD62A1" w:rsidRDefault="00BE6601" w:rsidP="009154B6">
      <w:pPr>
        <w:pStyle w:val="Titel"/>
        <w:rPr>
          <w:rFonts w:asciiTheme="minorHAnsi" w:hAnsiTheme="minorHAnsi" w:cs="Arial"/>
          <w:szCs w:val="22"/>
        </w:rPr>
      </w:pPr>
      <w:proofErr w:type="spellStart"/>
      <w:r w:rsidRPr="00BD62A1">
        <w:rPr>
          <w:rFonts w:asciiTheme="minorHAnsi" w:hAnsiTheme="minorHAnsi" w:cs="Arial"/>
          <w:szCs w:val="22"/>
        </w:rPr>
        <w:t>Vortest</w:t>
      </w:r>
      <w:proofErr w:type="spellEnd"/>
    </w:p>
    <w:p w:rsidR="00BE6601" w:rsidRPr="00BD62A1" w:rsidRDefault="00BE6601" w:rsidP="008D5A3B">
      <w:pPr>
        <w:pStyle w:val="Titel"/>
        <w:spacing w:line="240" w:lineRule="auto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D62A1">
        <w:rPr>
          <w:rFonts w:asciiTheme="minorHAnsi" w:hAnsiTheme="minorHAnsi" w:cs="Arial"/>
          <w:b w:val="0"/>
          <w:sz w:val="22"/>
          <w:szCs w:val="22"/>
          <w:u w:val="none"/>
        </w:rPr>
        <w:t>De</w:t>
      </w:r>
      <w:r w:rsidR="001C1332">
        <w:rPr>
          <w:rFonts w:asciiTheme="minorHAnsi" w:hAnsiTheme="minorHAnsi" w:cs="Arial"/>
          <w:b w:val="0"/>
          <w:sz w:val="22"/>
          <w:szCs w:val="22"/>
          <w:u w:val="none"/>
        </w:rPr>
        <w:t>r folgende Test soll dir helfen</w:t>
      </w:r>
      <w:r w:rsidRPr="00BD62A1">
        <w:rPr>
          <w:rFonts w:asciiTheme="minorHAnsi" w:hAnsiTheme="minorHAnsi" w:cs="Arial"/>
          <w:b w:val="0"/>
          <w:sz w:val="22"/>
          <w:szCs w:val="22"/>
          <w:u w:val="none"/>
        </w:rPr>
        <w:t xml:space="preserve"> deine Wissensgrundlagen für die folgende Unterrichtseinheit zu überpr</w:t>
      </w:r>
      <w:r w:rsidRPr="00BD62A1">
        <w:rPr>
          <w:rFonts w:asciiTheme="minorHAnsi" w:hAnsiTheme="minorHAnsi" w:cs="Arial"/>
          <w:b w:val="0"/>
          <w:sz w:val="22"/>
          <w:szCs w:val="22"/>
          <w:u w:val="none"/>
        </w:rPr>
        <w:t>ü</w:t>
      </w:r>
      <w:r w:rsidRPr="00BD62A1">
        <w:rPr>
          <w:rFonts w:asciiTheme="minorHAnsi" w:hAnsiTheme="minorHAnsi" w:cs="Arial"/>
          <w:b w:val="0"/>
          <w:sz w:val="22"/>
          <w:szCs w:val="22"/>
          <w:u w:val="none"/>
        </w:rPr>
        <w:t>fen.</w:t>
      </w:r>
    </w:p>
    <w:p w:rsidR="00BE6601" w:rsidRPr="009B4F94" w:rsidRDefault="00BE6601" w:rsidP="00DB0922">
      <w:pPr>
        <w:pStyle w:val="Titel"/>
        <w:spacing w:line="240" w:lineRule="auto"/>
        <w:jc w:val="left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BD62A1">
        <w:rPr>
          <w:rFonts w:asciiTheme="minorHAnsi" w:hAnsiTheme="minorHAnsi" w:cs="Arial"/>
          <w:b w:val="0"/>
          <w:sz w:val="22"/>
          <w:szCs w:val="22"/>
          <w:u w:val="none"/>
        </w:rPr>
        <w:t>Sollte sich herausstellen, dass dein Wissen größere Lücken aufweist, kannst du diese mit folgenden Selbs</w:t>
      </w:r>
      <w:r w:rsidRPr="00BD62A1">
        <w:rPr>
          <w:rFonts w:asciiTheme="minorHAnsi" w:hAnsiTheme="minorHAnsi" w:cs="Arial"/>
          <w:b w:val="0"/>
          <w:sz w:val="22"/>
          <w:szCs w:val="22"/>
          <w:u w:val="none"/>
        </w:rPr>
        <w:t>t</w:t>
      </w:r>
      <w:r w:rsidRPr="00BD62A1">
        <w:rPr>
          <w:rFonts w:asciiTheme="minorHAnsi" w:hAnsiTheme="minorHAnsi" w:cs="Arial"/>
          <w:b w:val="0"/>
          <w:sz w:val="22"/>
          <w:szCs w:val="22"/>
          <w:u w:val="none"/>
        </w:rPr>
        <w:t>lernprogrammen schließen oder schaue in deinem Schulbuch nach.</w:t>
      </w:r>
    </w:p>
    <w:p w:rsidR="00BE6601" w:rsidRPr="009B4F94" w:rsidRDefault="00BE6601" w:rsidP="00BE6601">
      <w:pPr>
        <w:pStyle w:val="Titel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9B4F94">
        <w:rPr>
          <w:rFonts w:asciiTheme="minorHAnsi" w:hAnsiTheme="minorHAnsi" w:cs="Arial"/>
          <w:i/>
          <w:sz w:val="22"/>
          <w:szCs w:val="22"/>
          <w:u w:val="none"/>
        </w:rPr>
        <w:t>Mitose</w:t>
      </w:r>
      <w:r w:rsidRPr="009B4F94">
        <w:rPr>
          <w:rFonts w:asciiTheme="minorHAnsi" w:hAnsiTheme="minorHAnsi" w:cs="Arial"/>
          <w:b w:val="0"/>
          <w:sz w:val="22"/>
          <w:szCs w:val="22"/>
          <w:u w:val="none"/>
        </w:rPr>
        <w:t xml:space="preserve">: </w:t>
      </w:r>
      <w:hyperlink r:id="rId7" w:history="1">
        <w:r w:rsidRPr="009B4F94">
          <w:rPr>
            <w:rStyle w:val="Hyperlink"/>
            <w:rFonts w:asciiTheme="minorHAnsi" w:hAnsiTheme="minorHAnsi" w:cs="Arial"/>
            <w:b w:val="0"/>
            <w:sz w:val="22"/>
            <w:szCs w:val="22"/>
          </w:rPr>
          <w:t>http://www.mallig.eduvinet.de/bio/Repetito/Mitose1.html</w:t>
        </w:r>
      </w:hyperlink>
    </w:p>
    <w:p w:rsidR="00BE6601" w:rsidRPr="009B4F94" w:rsidRDefault="00BE6601" w:rsidP="00BE6601">
      <w:pPr>
        <w:pStyle w:val="Titel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9B4F94">
        <w:rPr>
          <w:rFonts w:asciiTheme="minorHAnsi" w:hAnsiTheme="minorHAnsi" w:cs="Arial"/>
          <w:i/>
          <w:sz w:val="22"/>
          <w:szCs w:val="22"/>
          <w:u w:val="none"/>
        </w:rPr>
        <w:t>Meiose</w:t>
      </w:r>
      <w:r w:rsidRPr="009B4F94">
        <w:rPr>
          <w:rFonts w:asciiTheme="minorHAnsi" w:hAnsiTheme="minorHAnsi" w:cs="Arial"/>
          <w:b w:val="0"/>
          <w:sz w:val="22"/>
          <w:szCs w:val="22"/>
          <w:u w:val="none"/>
        </w:rPr>
        <w:t xml:space="preserve">: </w:t>
      </w:r>
      <w:hyperlink r:id="rId8" w:history="1">
        <w:r w:rsidRPr="009B4F94">
          <w:rPr>
            <w:rStyle w:val="Hyperlink"/>
            <w:rFonts w:asciiTheme="minorHAnsi" w:hAnsiTheme="minorHAnsi" w:cs="Arial"/>
            <w:b w:val="0"/>
            <w:sz w:val="22"/>
            <w:szCs w:val="22"/>
          </w:rPr>
          <w:t>http://www.mallig.eduvinet.de/bio/Repetito/Meiose1.html</w:t>
        </w:r>
      </w:hyperlink>
    </w:p>
    <w:p w:rsidR="00BE6601" w:rsidRPr="009B4F94" w:rsidRDefault="00BE6601" w:rsidP="00BE6601">
      <w:pPr>
        <w:pStyle w:val="Titel"/>
        <w:numPr>
          <w:ilvl w:val="0"/>
          <w:numId w:val="3"/>
        </w:numPr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9B4F94">
        <w:rPr>
          <w:rFonts w:asciiTheme="minorHAnsi" w:hAnsiTheme="minorHAnsi" w:cs="Arial"/>
          <w:i/>
          <w:sz w:val="22"/>
          <w:szCs w:val="22"/>
          <w:u w:val="none"/>
        </w:rPr>
        <w:t>Karyogramm</w:t>
      </w:r>
      <w:r w:rsidRPr="009B4F94">
        <w:rPr>
          <w:rFonts w:asciiTheme="minorHAnsi" w:hAnsiTheme="minorHAnsi" w:cs="Arial"/>
          <w:b w:val="0"/>
          <w:sz w:val="22"/>
          <w:szCs w:val="22"/>
          <w:u w:val="none"/>
        </w:rPr>
        <w:t xml:space="preserve">: </w:t>
      </w:r>
      <w:hyperlink r:id="rId9" w:history="1">
        <w:r w:rsidRPr="009B4F94">
          <w:rPr>
            <w:rStyle w:val="Hyperlink"/>
            <w:rFonts w:asciiTheme="minorHAnsi" w:hAnsiTheme="minorHAnsi" w:cs="Arial"/>
            <w:b w:val="0"/>
            <w:sz w:val="22"/>
            <w:szCs w:val="22"/>
          </w:rPr>
          <w:t>http://www.mallig.eduvinet.de/bio/Repetito/Karyog.html</w:t>
        </w:r>
      </w:hyperlink>
    </w:p>
    <w:p w:rsidR="001D5A00" w:rsidRPr="00DB0922" w:rsidRDefault="00BE6601" w:rsidP="00DB0922">
      <w:pPr>
        <w:pStyle w:val="Titel"/>
        <w:numPr>
          <w:ilvl w:val="0"/>
          <w:numId w:val="3"/>
        </w:numPr>
        <w:spacing w:line="276" w:lineRule="aut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9B4F94">
        <w:rPr>
          <w:rFonts w:asciiTheme="minorHAnsi" w:hAnsiTheme="minorHAnsi" w:cs="Arial"/>
          <w:i/>
          <w:sz w:val="22"/>
          <w:szCs w:val="22"/>
          <w:u w:val="none"/>
        </w:rPr>
        <w:t>Klassische Vererbung</w:t>
      </w:r>
      <w:r w:rsidRPr="009B4F94">
        <w:rPr>
          <w:rFonts w:asciiTheme="minorHAnsi" w:hAnsiTheme="minorHAnsi" w:cs="Arial"/>
          <w:b w:val="0"/>
          <w:sz w:val="22"/>
          <w:szCs w:val="22"/>
          <w:u w:val="none"/>
        </w:rPr>
        <w:t>:</w:t>
      </w:r>
      <w:r w:rsidRPr="009B4F94"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Pr="009B4F94">
          <w:rPr>
            <w:rStyle w:val="Hyperlink"/>
            <w:rFonts w:asciiTheme="minorHAnsi" w:hAnsiTheme="minorHAnsi" w:cs="Arial"/>
            <w:b w:val="0"/>
            <w:sz w:val="22"/>
            <w:szCs w:val="22"/>
          </w:rPr>
          <w:t>http://www.mallig.eduvinet.de/bio/Repetito/Genetik.html</w:t>
        </w:r>
      </w:hyperlink>
    </w:p>
    <w:p w:rsidR="00BE6601" w:rsidRPr="009B4F94" w:rsidRDefault="001D5A00" w:rsidP="00BE6601">
      <w:pPr>
        <w:pStyle w:val="Titel"/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9B4F94">
        <w:rPr>
          <w:rFonts w:asciiTheme="minorHAnsi" w:hAnsiTheme="minorHAnsi" w:cs="Arial"/>
          <w:b w:val="0"/>
          <w:sz w:val="22"/>
          <w:szCs w:val="22"/>
          <w:u w:val="none"/>
        </w:rPr>
        <w:t xml:space="preserve">Aufgabe: </w:t>
      </w:r>
    </w:p>
    <w:p w:rsidR="001D5A00" w:rsidRPr="009B4F94" w:rsidRDefault="009B4F94" w:rsidP="009B4F94">
      <w:pPr>
        <w:pStyle w:val="Titel"/>
        <w:numPr>
          <w:ilvl w:val="0"/>
          <w:numId w:val="6"/>
        </w:numPr>
        <w:spacing w:line="240" w:lineRule="auto"/>
        <w:jc w:val="both"/>
        <w:rPr>
          <w:rFonts w:asciiTheme="minorHAnsi" w:hAnsiTheme="minorHAnsi" w:cs="Arial"/>
          <w:b w:val="0"/>
          <w:sz w:val="22"/>
          <w:szCs w:val="22"/>
          <w:u w:val="none"/>
        </w:rPr>
      </w:pPr>
      <w:r w:rsidRPr="009B4F94">
        <w:rPr>
          <w:rFonts w:asciiTheme="minorHAnsi" w:hAnsiTheme="minorHAnsi" w:cs="Arial"/>
          <w:b w:val="0"/>
          <w:sz w:val="22"/>
          <w:szCs w:val="22"/>
          <w:u w:val="none"/>
        </w:rPr>
        <w:t>Kreuze an</w:t>
      </w:r>
      <w:r w:rsidR="001C1332">
        <w:rPr>
          <w:rFonts w:asciiTheme="minorHAnsi" w:hAnsiTheme="minorHAnsi" w:cs="Arial"/>
          <w:b w:val="0"/>
          <w:sz w:val="22"/>
          <w:szCs w:val="22"/>
          <w:u w:val="none"/>
        </w:rPr>
        <w:t>,</w:t>
      </w:r>
      <w:r w:rsidRPr="009B4F94">
        <w:rPr>
          <w:rFonts w:asciiTheme="minorHAnsi" w:hAnsiTheme="minorHAnsi" w:cs="Arial"/>
          <w:b w:val="0"/>
          <w:sz w:val="22"/>
          <w:szCs w:val="22"/>
          <w:u w:val="none"/>
        </w:rPr>
        <w:t xml:space="preserve"> k</w:t>
      </w:r>
      <w:r w:rsidR="001D5A00" w:rsidRPr="009B4F94">
        <w:rPr>
          <w:rFonts w:asciiTheme="minorHAnsi" w:hAnsiTheme="minorHAnsi" w:cs="Arial"/>
          <w:b w:val="0"/>
          <w:sz w:val="22"/>
          <w:szCs w:val="22"/>
          <w:u w:val="none"/>
        </w:rPr>
        <w:t>orrigiere die als f</w:t>
      </w:r>
      <w:r w:rsidR="00BD62A1" w:rsidRPr="009B4F94">
        <w:rPr>
          <w:rFonts w:asciiTheme="minorHAnsi" w:hAnsiTheme="minorHAnsi" w:cs="Arial"/>
          <w:b w:val="0"/>
          <w:sz w:val="22"/>
          <w:szCs w:val="22"/>
          <w:u w:val="none"/>
        </w:rPr>
        <w:t>alsch gekennzeichneten Aussagen schriftlich</w:t>
      </w:r>
      <w:r w:rsidR="00D433AD" w:rsidRPr="009B4F94">
        <w:rPr>
          <w:rFonts w:asciiTheme="minorHAnsi" w:hAnsiTheme="minorHAnsi" w:cs="Arial"/>
          <w:b w:val="0"/>
          <w:sz w:val="22"/>
          <w:szCs w:val="22"/>
          <w:u w:val="none"/>
        </w:rPr>
        <w:t xml:space="preserve"> und </w:t>
      </w:r>
      <w:r w:rsidRPr="009B4F94">
        <w:rPr>
          <w:rFonts w:asciiTheme="minorHAnsi" w:hAnsiTheme="minorHAnsi" w:cs="Arial"/>
          <w:b w:val="0"/>
          <w:sz w:val="22"/>
          <w:szCs w:val="22"/>
          <w:u w:val="none"/>
        </w:rPr>
        <w:t xml:space="preserve">formuliere eine </w:t>
      </w:r>
      <w:r w:rsidR="00880BEA">
        <w:rPr>
          <w:rFonts w:asciiTheme="minorHAnsi" w:hAnsiTheme="minorHAnsi" w:cs="Arial"/>
          <w:b w:val="0"/>
          <w:sz w:val="22"/>
          <w:szCs w:val="22"/>
          <w:u w:val="none"/>
        </w:rPr>
        <w:t>kurze</w:t>
      </w:r>
      <w:r w:rsidR="00D433AD" w:rsidRPr="009B4F94">
        <w:rPr>
          <w:rFonts w:asciiTheme="minorHAnsi" w:hAnsiTheme="minorHAnsi" w:cs="Arial"/>
          <w:b w:val="0"/>
          <w:sz w:val="22"/>
          <w:szCs w:val="22"/>
          <w:u w:val="none"/>
        </w:rPr>
        <w:t xml:space="preserve"> Begründung</w:t>
      </w:r>
      <w:r w:rsidR="00BD62A1" w:rsidRPr="009B4F94">
        <w:rPr>
          <w:rFonts w:asciiTheme="minorHAnsi" w:hAnsiTheme="minorHAnsi" w:cs="Arial"/>
          <w:b w:val="0"/>
          <w:sz w:val="22"/>
          <w:szCs w:val="22"/>
          <w:u w:val="none"/>
        </w:rPr>
        <w:t>!</w:t>
      </w:r>
    </w:p>
    <w:tbl>
      <w:tblPr>
        <w:tblStyle w:val="Tabellengitternetz"/>
        <w:tblW w:w="0" w:type="auto"/>
        <w:tblLayout w:type="fixed"/>
        <w:tblLook w:val="04A0"/>
      </w:tblPr>
      <w:tblGrid>
        <w:gridCol w:w="7763"/>
        <w:gridCol w:w="992"/>
        <w:gridCol w:w="992"/>
      </w:tblGrid>
      <w:tr w:rsidR="00B23538" w:rsidRPr="00BD62A1" w:rsidTr="009154B6">
        <w:tc>
          <w:tcPr>
            <w:tcW w:w="7763" w:type="dxa"/>
          </w:tcPr>
          <w:p w:rsidR="00B23538" w:rsidRPr="00BD62A1" w:rsidRDefault="00B23538"/>
        </w:tc>
        <w:tc>
          <w:tcPr>
            <w:tcW w:w="992" w:type="dxa"/>
            <w:vAlign w:val="center"/>
          </w:tcPr>
          <w:p w:rsidR="00B23538" w:rsidRPr="00BD62A1" w:rsidRDefault="00B23538" w:rsidP="009154B6">
            <w:pPr>
              <w:jc w:val="center"/>
            </w:pPr>
            <w:r w:rsidRPr="00BD62A1">
              <w:t>stimmt</w:t>
            </w:r>
          </w:p>
        </w:tc>
        <w:tc>
          <w:tcPr>
            <w:tcW w:w="992" w:type="dxa"/>
            <w:vAlign w:val="center"/>
          </w:tcPr>
          <w:p w:rsidR="00B23538" w:rsidRPr="00BD62A1" w:rsidRDefault="00B23538" w:rsidP="009154B6">
            <w:pPr>
              <w:jc w:val="center"/>
            </w:pPr>
            <w:r w:rsidRPr="00BD62A1">
              <w:t>stimmt</w:t>
            </w:r>
          </w:p>
          <w:p w:rsidR="00B23538" w:rsidRPr="00BD62A1" w:rsidRDefault="00B23538" w:rsidP="009154B6">
            <w:pPr>
              <w:jc w:val="center"/>
            </w:pPr>
            <w:r w:rsidRPr="00BD62A1">
              <w:t>nicht</w:t>
            </w:r>
          </w:p>
        </w:tc>
      </w:tr>
      <w:tr w:rsidR="00B23538" w:rsidRPr="00BD62A1" w:rsidTr="009154B6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EF58E4" w:rsidRPr="002E28E5" w:rsidRDefault="00D433AD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2E28E5">
              <w:t xml:space="preserve">Ein Karyogramm des Menschen enthält 22 </w:t>
            </w:r>
            <w:proofErr w:type="spellStart"/>
            <w:r w:rsidRPr="002E28E5">
              <w:t>Gonosomenpaare</w:t>
            </w:r>
            <w:proofErr w:type="spellEnd"/>
            <w:r w:rsidRPr="002E28E5">
              <w:t xml:space="preserve"> und 1 </w:t>
            </w:r>
            <w:proofErr w:type="spellStart"/>
            <w:r w:rsidRPr="002E28E5">
              <w:t>Autosomenpaar</w:t>
            </w:r>
            <w:proofErr w:type="spellEnd"/>
            <w:r w:rsidRPr="002E28E5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538" w:rsidRPr="00CD0B54" w:rsidRDefault="00B23538" w:rsidP="009154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B23538" w:rsidRPr="00CD0B54" w:rsidRDefault="00B23538" w:rsidP="009154B6">
            <w:pPr>
              <w:jc w:val="center"/>
              <w:rPr>
                <w:b/>
              </w:rPr>
            </w:pPr>
          </w:p>
        </w:tc>
      </w:tr>
      <w:tr w:rsidR="00F7680B" w:rsidRPr="00BD62A1" w:rsidTr="009154B6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F7680B" w:rsidRPr="002E28E5" w:rsidRDefault="00F7680B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2E28E5">
              <w:t>Bei einem Kar</w:t>
            </w:r>
            <w:r w:rsidR="009B4F94" w:rsidRPr="002E28E5">
              <w:t>y</w:t>
            </w:r>
            <w:r w:rsidRPr="002E28E5">
              <w:t xml:space="preserve">ogramm werden die Chromosomen nach Größe, Bänderung und Lage des </w:t>
            </w:r>
            <w:proofErr w:type="spellStart"/>
            <w:r w:rsidRPr="002E28E5">
              <w:t>Centromers</w:t>
            </w:r>
            <w:proofErr w:type="spellEnd"/>
            <w:r w:rsidRPr="002E28E5">
              <w:t xml:space="preserve"> geordnet.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80B" w:rsidRPr="00CD0B54" w:rsidRDefault="00F7680B" w:rsidP="009154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80B" w:rsidRPr="00CD0B54" w:rsidRDefault="00F7680B" w:rsidP="009154B6">
            <w:pPr>
              <w:jc w:val="center"/>
              <w:rPr>
                <w:b/>
              </w:rPr>
            </w:pPr>
          </w:p>
        </w:tc>
      </w:tr>
      <w:tr w:rsidR="00F7680B" w:rsidRPr="00BD62A1" w:rsidTr="009154B6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F7680B" w:rsidRPr="002E28E5" w:rsidRDefault="00F7680B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2E28E5">
              <w:t xml:space="preserve">Der Zellzyklus besteht aus </w:t>
            </w:r>
            <w:r w:rsidR="009B4F94" w:rsidRPr="002E28E5">
              <w:t>der Interphase (G1-, S- und G2-</w:t>
            </w:r>
            <w:r w:rsidR="00A24A3F" w:rsidRPr="002E28E5">
              <w:t>Phase) und der M</w:t>
            </w:r>
            <w:r w:rsidR="00A24A3F" w:rsidRPr="002E28E5">
              <w:t>i</w:t>
            </w:r>
            <w:r w:rsidR="00A24A3F" w:rsidRPr="002E28E5">
              <w:t>tose (Kernteilung)</w:t>
            </w:r>
            <w:r w:rsidR="001C1332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80B" w:rsidRPr="00CD0B54" w:rsidRDefault="00F7680B" w:rsidP="009154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80B" w:rsidRPr="00CD0B54" w:rsidRDefault="00F7680B" w:rsidP="009154B6">
            <w:pPr>
              <w:jc w:val="center"/>
              <w:rPr>
                <w:b/>
              </w:rPr>
            </w:pPr>
          </w:p>
        </w:tc>
      </w:tr>
      <w:tr w:rsidR="00634116" w:rsidRPr="00BD62A1" w:rsidTr="009154B6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634116" w:rsidRPr="002E28E5" w:rsidRDefault="00634116" w:rsidP="001C1332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2E28E5">
              <w:t>Die Mitose dient der ungeschlechtlichen Vermehrung von Einzellern, der E</w:t>
            </w:r>
            <w:r w:rsidRPr="002E28E5">
              <w:t>r</w:t>
            </w:r>
            <w:r w:rsidRPr="002E28E5">
              <w:t xml:space="preserve">neuerung und Reparatur von Geweben bei Vielzellern und </w:t>
            </w:r>
            <w:r w:rsidR="001C1332">
              <w:t>zudem</w:t>
            </w:r>
            <w:r w:rsidRPr="002E28E5">
              <w:t xml:space="preserve"> bei Vielze</w:t>
            </w:r>
            <w:r w:rsidRPr="002E28E5">
              <w:t>l</w:t>
            </w:r>
            <w:r w:rsidRPr="002E28E5">
              <w:t>lern der Vermehrung von Zellen im Sinne von Wachstum.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4116" w:rsidRPr="00CD0B54" w:rsidRDefault="00634116" w:rsidP="009154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634116" w:rsidRPr="00CD0B54" w:rsidRDefault="00634116" w:rsidP="009154B6">
            <w:pPr>
              <w:jc w:val="center"/>
              <w:rPr>
                <w:b/>
              </w:rPr>
            </w:pPr>
          </w:p>
        </w:tc>
      </w:tr>
      <w:tr w:rsidR="00F7680B" w:rsidRPr="00BD62A1" w:rsidTr="009154B6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F7680B" w:rsidRPr="00BD62A1" w:rsidRDefault="00F7680B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BD62A1">
              <w:t>Bei der Mitose werden die Chromosomen gleichmäßig auf beide Tochterke</w:t>
            </w:r>
            <w:r w:rsidRPr="00BD62A1">
              <w:t>r</w:t>
            </w:r>
            <w:r w:rsidRPr="00BD62A1">
              <w:t>ne verteilt.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80B" w:rsidRPr="00CD0B54" w:rsidRDefault="00F7680B" w:rsidP="009154B6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F7680B" w:rsidRPr="00CD0B54" w:rsidRDefault="00F7680B" w:rsidP="009154B6">
            <w:pPr>
              <w:jc w:val="center"/>
              <w:rPr>
                <w:b/>
              </w:rPr>
            </w:pPr>
          </w:p>
        </w:tc>
      </w:tr>
      <w:tr w:rsidR="00EF58E4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7C0" w:rsidRPr="00BD62A1" w:rsidRDefault="00EF58E4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BD62A1">
              <w:t xml:space="preserve">Die DNA wird in der Prophase, also vor der </w:t>
            </w:r>
            <w:r w:rsidR="008D5A3B" w:rsidRPr="002E28E5">
              <w:t>Kern</w:t>
            </w:r>
            <w:r w:rsidRPr="00BD62A1">
              <w:t>teilung, verdoppelt.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E4" w:rsidRPr="00CD0B54" w:rsidRDefault="00EF58E4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E4" w:rsidRPr="00CD0B54" w:rsidRDefault="00EF58E4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8D5A3B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3B" w:rsidRPr="002E28E5" w:rsidRDefault="008D5A3B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2E28E5">
              <w:t>Auf die Mitose folgt die eigentliche Zellteilung (Cytokinese)</w:t>
            </w:r>
            <w:r w:rsidR="001C1332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3B" w:rsidRPr="00CD0B54" w:rsidRDefault="008D5A3B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5A3B" w:rsidRPr="00CD0B54" w:rsidRDefault="008D5A3B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A24A3F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3F" w:rsidRPr="002E28E5" w:rsidRDefault="00A24A3F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2E28E5">
              <w:t>Nach einer erfolgten Zellteilung können die so entstanden Zellen sofort zur nächsten Mitose übergehen</w:t>
            </w:r>
            <w:r w:rsidR="001C1332">
              <w:t>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3F" w:rsidRPr="00CD0B54" w:rsidRDefault="00A24A3F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24A3F" w:rsidRPr="00CD0B54" w:rsidRDefault="00A24A3F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EF58E4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E4" w:rsidRPr="00BD62A1" w:rsidRDefault="00EF58E4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BD62A1">
              <w:t>Bei der ersten Reifeteilung der Meiose trennen sich die homologen Chrom</w:t>
            </w:r>
            <w:r w:rsidRPr="00BD62A1">
              <w:t>o</w:t>
            </w:r>
            <w:r w:rsidRPr="00BD62A1">
              <w:t>somen.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E4" w:rsidRPr="00CD0B54" w:rsidRDefault="00EF58E4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F58E4" w:rsidRPr="00CD0B54" w:rsidRDefault="00EF58E4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EE237E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E" w:rsidRPr="00BD62A1" w:rsidRDefault="00EE237E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BD62A1">
              <w:t>Zur geschlechtlichen Fortpflanzung werden durch Meiose diploide Keimzellen gebildet.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E" w:rsidRPr="00CD0B54" w:rsidRDefault="00EE237E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E" w:rsidRPr="00CD0B54" w:rsidRDefault="00EE237E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634116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16" w:rsidRPr="00CD0B54" w:rsidRDefault="00CD0B54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CD0B54">
              <w:t>Die Meiose hat eine Reduktion des Chromosomensatzes in Keimzellen zur Folge. Rekombination sorgt dabei dafür, dass das Erbmaterial der entstehe</w:t>
            </w:r>
            <w:r w:rsidRPr="00CD0B54">
              <w:t>n</w:t>
            </w:r>
            <w:r w:rsidRPr="00CD0B54">
              <w:t>den Keimzellen jeweils identisch ist. Dies ist die Grundlage für die genetische Homogenität sich sexuell vermehrender Organismen.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16" w:rsidRPr="00CD0B54" w:rsidRDefault="00634116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34116" w:rsidRPr="00CD0B54" w:rsidRDefault="00634116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EE237E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7C0" w:rsidRPr="00BD62A1" w:rsidRDefault="00EE237E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BD62A1">
              <w:t>Die Erbinformation beruht auf der Abfolge der Aminosäuren.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E" w:rsidRPr="00CD0B54" w:rsidRDefault="00EE237E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237E" w:rsidRPr="00CD0B54" w:rsidRDefault="00EE237E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B322D1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2D1" w:rsidRPr="00BD62A1" w:rsidRDefault="00CD0B54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>
              <w:t>Dem</w:t>
            </w:r>
            <w:r w:rsidR="00B322D1" w:rsidRPr="00BD62A1">
              <w:t xml:space="preserve"> gleichen Phänotyp können unterschiedliche Genotypen zugrunde liegen.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2D1" w:rsidRPr="00CD0B54" w:rsidRDefault="00B322D1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2D1" w:rsidRPr="00CD0B54" w:rsidRDefault="00B322D1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B322D1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D7" w:rsidRPr="00BD62A1" w:rsidRDefault="00B322D1" w:rsidP="00CD0B54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BD62A1">
              <w:t xml:space="preserve">Kreuzt man bei einem dominant-rezessiven Erbgang ein heterozygotes und ein homozygot rezessives Lebewesen, so </w:t>
            </w:r>
            <w:r w:rsidR="00CD0B54">
              <w:t>erhält</w:t>
            </w:r>
            <w:r w:rsidRPr="00BD62A1">
              <w:t xml:space="preserve"> man unterschiedliche Phän</w:t>
            </w:r>
            <w:r w:rsidRPr="00BD62A1">
              <w:t>o</w:t>
            </w:r>
            <w:r w:rsidRPr="00BD62A1">
              <w:t>typen.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2D1" w:rsidRPr="00CD0B54" w:rsidRDefault="00B322D1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322D1" w:rsidRPr="00CD0B54" w:rsidRDefault="00B322D1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C320D7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D7" w:rsidRPr="00BD62A1" w:rsidRDefault="003F18DE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BD62A1">
              <w:t>Kreuzt man zwei Individuen einer Art, die sich in einem Merkmal untersche</w:t>
            </w:r>
            <w:r w:rsidRPr="00BD62A1">
              <w:t>i</w:t>
            </w:r>
            <w:r w:rsidRPr="00BD62A1">
              <w:t>den, für das sie reinerbig sind, so spalten sich die Nachkommen der F</w:t>
            </w:r>
            <w:r w:rsidRPr="00BD62A1">
              <w:rPr>
                <w:vertAlign w:val="subscript"/>
              </w:rPr>
              <w:t>1</w:t>
            </w:r>
            <w:r w:rsidRPr="00BD62A1">
              <w:t xml:space="preserve">-Genertation in einem bestimmten Zahlenverhältnis </w:t>
            </w:r>
            <w:r>
              <w:t xml:space="preserve">phänotypisch </w:t>
            </w:r>
            <w:r w:rsidRPr="00BD62A1">
              <w:t>auf.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D7" w:rsidRPr="00CD0B54" w:rsidRDefault="00C320D7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20D7" w:rsidRPr="00CD0B54" w:rsidRDefault="00C320D7" w:rsidP="009154B6">
            <w:pPr>
              <w:ind w:left="567" w:hanging="425"/>
              <w:jc w:val="center"/>
              <w:rPr>
                <w:b/>
              </w:rPr>
            </w:pPr>
          </w:p>
        </w:tc>
      </w:tr>
      <w:tr w:rsidR="00A97973" w:rsidRPr="00BD62A1" w:rsidTr="009154B6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227C0" w:rsidRPr="00BD62A1" w:rsidRDefault="00A97973" w:rsidP="009154B6">
            <w:pPr>
              <w:pStyle w:val="Listenabsatz"/>
              <w:numPr>
                <w:ilvl w:val="0"/>
                <w:numId w:val="1"/>
              </w:numPr>
              <w:ind w:left="567" w:hanging="425"/>
            </w:pPr>
            <w:r w:rsidRPr="00BD62A1">
              <w:t>Eine spontane Veränderung der DNA wird Variabilität genannt.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73" w:rsidRPr="00CD0B54" w:rsidRDefault="00A97973" w:rsidP="009154B6">
            <w:pPr>
              <w:ind w:left="567" w:hanging="42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97973" w:rsidRPr="00CD0B54" w:rsidRDefault="00A97973" w:rsidP="009154B6">
            <w:pPr>
              <w:ind w:left="567" w:hanging="425"/>
              <w:jc w:val="center"/>
              <w:rPr>
                <w:b/>
              </w:rPr>
            </w:pPr>
          </w:p>
        </w:tc>
      </w:tr>
    </w:tbl>
    <w:p w:rsidR="00BE6601" w:rsidRPr="00BD62A1" w:rsidRDefault="00BE6601">
      <w:pPr>
        <w:rPr>
          <w:b/>
          <w:sz w:val="28"/>
          <w:u w:val="single"/>
        </w:rPr>
      </w:pPr>
      <w:r w:rsidRPr="00BD62A1">
        <w:rPr>
          <w:b/>
          <w:sz w:val="28"/>
          <w:u w:val="single"/>
        </w:rPr>
        <w:lastRenderedPageBreak/>
        <w:t>Lösung:</w:t>
      </w:r>
    </w:p>
    <w:tbl>
      <w:tblPr>
        <w:tblStyle w:val="Tabellengitternetz"/>
        <w:tblW w:w="0" w:type="auto"/>
        <w:tblLayout w:type="fixed"/>
        <w:tblLook w:val="04A0"/>
      </w:tblPr>
      <w:tblGrid>
        <w:gridCol w:w="7763"/>
        <w:gridCol w:w="992"/>
        <w:gridCol w:w="992"/>
      </w:tblGrid>
      <w:tr w:rsidR="009154B6" w:rsidRPr="00BD62A1" w:rsidTr="009B495E">
        <w:tc>
          <w:tcPr>
            <w:tcW w:w="7763" w:type="dxa"/>
          </w:tcPr>
          <w:p w:rsidR="009154B6" w:rsidRPr="00BD62A1" w:rsidRDefault="009154B6" w:rsidP="009B495E"/>
        </w:tc>
        <w:tc>
          <w:tcPr>
            <w:tcW w:w="992" w:type="dxa"/>
            <w:vAlign w:val="center"/>
          </w:tcPr>
          <w:p w:rsidR="009154B6" w:rsidRPr="00BD62A1" w:rsidRDefault="009154B6" w:rsidP="009B495E">
            <w:pPr>
              <w:jc w:val="center"/>
            </w:pPr>
            <w:r w:rsidRPr="00BD62A1">
              <w:t>stimmt</w:t>
            </w:r>
          </w:p>
        </w:tc>
        <w:tc>
          <w:tcPr>
            <w:tcW w:w="992" w:type="dxa"/>
            <w:vAlign w:val="center"/>
          </w:tcPr>
          <w:p w:rsidR="009154B6" w:rsidRPr="00BD62A1" w:rsidRDefault="009154B6" w:rsidP="009B495E">
            <w:pPr>
              <w:jc w:val="center"/>
            </w:pPr>
            <w:r w:rsidRPr="00BD62A1">
              <w:t>stimmt</w:t>
            </w:r>
          </w:p>
          <w:p w:rsidR="009154B6" w:rsidRPr="00BD62A1" w:rsidRDefault="009154B6" w:rsidP="009B495E">
            <w:pPr>
              <w:jc w:val="center"/>
            </w:pPr>
            <w:r w:rsidRPr="00BD62A1">
              <w:t>nicht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9154B6" w:rsidRPr="002E28E5" w:rsidRDefault="009154B6" w:rsidP="00D433AD">
            <w:pPr>
              <w:pStyle w:val="Listenabsatz"/>
              <w:numPr>
                <w:ilvl w:val="0"/>
                <w:numId w:val="9"/>
              </w:numPr>
            </w:pPr>
            <w:r w:rsidRPr="002E28E5">
              <w:t xml:space="preserve">Ein Karyogramm des Menschen enthält 22 </w:t>
            </w:r>
            <w:proofErr w:type="spellStart"/>
            <w:r w:rsidR="00D433AD" w:rsidRPr="002E28E5">
              <w:t>Gonosomenpaare</w:t>
            </w:r>
            <w:proofErr w:type="spellEnd"/>
            <w:r w:rsidRPr="002E28E5">
              <w:t xml:space="preserve"> und 1 </w:t>
            </w:r>
            <w:proofErr w:type="spellStart"/>
            <w:r w:rsidR="00D433AD" w:rsidRPr="002E28E5">
              <w:t>Autosomenpaar</w:t>
            </w:r>
            <w:proofErr w:type="spellEnd"/>
            <w:r w:rsidR="00D433AD" w:rsidRPr="002E28E5"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9154B6" w:rsidRPr="002E28E5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2E28E5">
              <w:t>Bei einem Kar</w:t>
            </w:r>
            <w:r w:rsidR="009B4F94" w:rsidRPr="002E28E5">
              <w:t>y</w:t>
            </w:r>
            <w:r w:rsidRPr="002E28E5">
              <w:t xml:space="preserve">ogramm werden die Chromosomen nach Größe, Bänderung und Lage des </w:t>
            </w:r>
            <w:proofErr w:type="spellStart"/>
            <w:r w:rsidRPr="002E28E5">
              <w:t>Centromers</w:t>
            </w:r>
            <w:proofErr w:type="spellEnd"/>
            <w:r w:rsidRPr="002E28E5">
              <w:t xml:space="preserve"> geordnet.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9154B6" w:rsidRPr="002E28E5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2E28E5">
              <w:t>Der Zellzyklus besteht aus</w:t>
            </w:r>
            <w:r w:rsidR="009B4F94" w:rsidRPr="002E28E5">
              <w:t xml:space="preserve"> der Interphase (G1-, S- und G2-</w:t>
            </w:r>
            <w:r w:rsidRPr="002E28E5">
              <w:t>Phase) und der M</w:t>
            </w:r>
            <w:r w:rsidRPr="002E28E5">
              <w:t>i</w:t>
            </w:r>
            <w:r w:rsidRPr="002E28E5">
              <w:t>tose (Kernteilung)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9154B6" w:rsidRPr="002E28E5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2E28E5">
              <w:t>Die Mitose dient der ungeschlechtlichen Vermehrung von Einzellern, der E</w:t>
            </w:r>
            <w:r w:rsidRPr="002E28E5">
              <w:t>r</w:t>
            </w:r>
            <w:r w:rsidRPr="002E28E5">
              <w:t>neuerung und Reparatur von Geweben bei Vielzellern und ebenfalls bei Vie</w:t>
            </w:r>
            <w:r w:rsidRPr="002E28E5">
              <w:t>l</w:t>
            </w:r>
            <w:r w:rsidRPr="002E28E5">
              <w:t>zellern der Vermehrung von Zellen im Sinne von Wachstum.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bottom w:val="single" w:sz="4" w:space="0" w:color="auto"/>
            </w:tcBorders>
            <w:vAlign w:val="center"/>
          </w:tcPr>
          <w:p w:rsidR="009154B6" w:rsidRPr="00BD62A1" w:rsidRDefault="009154B6" w:rsidP="002E28E5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BD62A1">
              <w:t>Bei der Mitose werden die Chromosomen gleichmäßig auf beide Tochterke</w:t>
            </w:r>
            <w:r w:rsidRPr="00BD62A1">
              <w:t>r</w:t>
            </w:r>
            <w:r w:rsidRPr="00BD62A1">
              <w:t>ne verteilt.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154B6" w:rsidRPr="009154B6" w:rsidRDefault="002E28E5" w:rsidP="009B495E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BD62A1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BD62A1">
              <w:t xml:space="preserve">Die DNA wird in der Prophase, also vor der </w:t>
            </w:r>
            <w:r w:rsidRPr="002E28E5">
              <w:t>Kern</w:t>
            </w:r>
            <w:r w:rsidRPr="00BD62A1">
              <w:t>teilung, verdoppelt.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2E28E5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2E28E5">
              <w:t>Auf die Mitose folgt die eigentliche Zellteilung (Cytokinese)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2E28E5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2E28E5">
              <w:t>Nach einer erfolgten Zellteilung können die so entstanden Zellen sofort zur nächsten Mitose übergehen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BD62A1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BD62A1">
              <w:t>Bei der ersten Reifeteilung der Meiose trennen sich die homologen Chrom</w:t>
            </w:r>
            <w:r w:rsidRPr="00BD62A1">
              <w:t>o</w:t>
            </w:r>
            <w:r w:rsidRPr="00BD62A1">
              <w:t>somen.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BD62A1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BD62A1">
              <w:t>Zur geschlechtlichen Fortpflanzung werden durch Meiose diploide Keimzellen gebildet.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CD0B54" w:rsidRDefault="002D6AB4" w:rsidP="002D6AB4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CD0B54">
              <w:t>Die Meiose hat eine Reduktion des Chromosomensatzes in Keimzellen zur Folge. Rekombination sorgt dabei dafür, dass das Erbmaterial der entstehe</w:t>
            </w:r>
            <w:r w:rsidRPr="00CD0B54">
              <w:t>n</w:t>
            </w:r>
            <w:r w:rsidRPr="00CD0B54">
              <w:t>den Keimzellen jeweils identisch ist. Dies ist die Grundlage für die genetische Homogenität sich sexuell vermehrender Organismen.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BD62A1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BD62A1">
              <w:t>Die Erbinformation beruht auf der Abfolge der Aminosäuren.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BD62A1" w:rsidRDefault="00CD0B54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>
              <w:t>Dem</w:t>
            </w:r>
            <w:r w:rsidR="009154B6" w:rsidRPr="00BD62A1">
              <w:t xml:space="preserve"> gleichen Phänotyp können unterschiedliche Genotypen zugrunde liegen.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BD62A1" w:rsidRDefault="009154B6" w:rsidP="00CD0B54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BD62A1">
              <w:t xml:space="preserve">Kreuzt man bei einem dominant-rezessiven Erbgang ein heterozygotes und ein homozygot rezessives Lebewesen, so </w:t>
            </w:r>
            <w:r w:rsidR="00CD0B54">
              <w:t>erhält</w:t>
            </w:r>
            <w:r w:rsidRPr="00BD62A1">
              <w:t xml:space="preserve"> man unterschiedliche Phän</w:t>
            </w:r>
            <w:r w:rsidRPr="00BD62A1">
              <w:t>o</w:t>
            </w:r>
            <w:r w:rsidRPr="00BD62A1">
              <w:t>typen.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BD62A1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BD62A1">
              <w:t>Kreuzt man zwei Individuen einer Art, die sich in einem Merkmal untersche</w:t>
            </w:r>
            <w:r w:rsidRPr="00BD62A1">
              <w:t>i</w:t>
            </w:r>
            <w:r w:rsidRPr="00BD62A1">
              <w:t>den, für das sie reinerbig sind, so spalten sich die Nachkommen der F</w:t>
            </w:r>
            <w:r w:rsidRPr="00BD62A1">
              <w:rPr>
                <w:vertAlign w:val="subscript"/>
              </w:rPr>
              <w:t>1</w:t>
            </w:r>
            <w:r w:rsidRPr="00BD62A1">
              <w:t xml:space="preserve">-Genertation in einem bestimmten Zahlenverhältnis </w:t>
            </w:r>
            <w:r w:rsidR="002D6AB4">
              <w:t xml:space="preserve">phänotypisch </w:t>
            </w:r>
            <w:r w:rsidRPr="00BD62A1">
              <w:t>auf.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  <w:tr w:rsidR="009154B6" w:rsidRPr="00BD62A1" w:rsidTr="009B495E">
        <w:trPr>
          <w:trHeight w:val="567"/>
        </w:trPr>
        <w:tc>
          <w:tcPr>
            <w:tcW w:w="776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BD62A1" w:rsidRDefault="009154B6" w:rsidP="009154B6">
            <w:pPr>
              <w:pStyle w:val="Listenabsatz"/>
              <w:numPr>
                <w:ilvl w:val="0"/>
                <w:numId w:val="9"/>
              </w:numPr>
              <w:ind w:left="567" w:hanging="425"/>
            </w:pPr>
            <w:r w:rsidRPr="00BD62A1">
              <w:t>Eine spontane Veränderung der DNA wird Variabilität genannt.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154B6" w:rsidRPr="009154B6" w:rsidRDefault="009154B6" w:rsidP="009B495E">
            <w:pPr>
              <w:ind w:left="567" w:hanging="425"/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x</w:t>
            </w:r>
          </w:p>
        </w:tc>
      </w:tr>
    </w:tbl>
    <w:p w:rsidR="00455135" w:rsidRDefault="00455135" w:rsidP="009154B6">
      <w:pPr>
        <w:spacing w:after="0" w:line="240" w:lineRule="auto"/>
      </w:pPr>
    </w:p>
    <w:p w:rsidR="00455135" w:rsidRDefault="00455135">
      <w:r>
        <w:br w:type="page"/>
      </w:r>
    </w:p>
    <w:p w:rsidR="009154B6" w:rsidRPr="00455135" w:rsidRDefault="00455135" w:rsidP="00455135">
      <w:pPr>
        <w:spacing w:after="0" w:line="360" w:lineRule="auto"/>
        <w:rPr>
          <w:b/>
        </w:rPr>
      </w:pPr>
      <w:r>
        <w:rPr>
          <w:b/>
        </w:rPr>
        <w:lastRenderedPageBreak/>
        <w:t>Korrekturen:</w:t>
      </w:r>
    </w:p>
    <w:p w:rsidR="00D433AD" w:rsidRDefault="00D433AD" w:rsidP="009154B6">
      <w:pPr>
        <w:spacing w:after="0" w:line="240" w:lineRule="auto"/>
      </w:pPr>
      <w:r w:rsidRPr="00455135">
        <w:rPr>
          <w:b/>
        </w:rPr>
        <w:t>Zu 1):</w:t>
      </w:r>
      <w:r>
        <w:t xml:space="preserve"> Ein Karogramm des Menschen enthält 22 </w:t>
      </w:r>
      <w:proofErr w:type="spellStart"/>
      <w:r>
        <w:t>Autosomenpaare</w:t>
      </w:r>
      <w:proofErr w:type="spellEnd"/>
      <w:r>
        <w:t xml:space="preserve"> und 1 </w:t>
      </w:r>
      <w:proofErr w:type="spellStart"/>
      <w:r>
        <w:t>Gonosomenpaar</w:t>
      </w:r>
      <w:proofErr w:type="spellEnd"/>
      <w:r>
        <w:t xml:space="preserve"> (Autosom = Kö</w:t>
      </w:r>
      <w:r>
        <w:t>r</w:t>
      </w:r>
      <w:r>
        <w:t xml:space="preserve">perchromosom; </w:t>
      </w:r>
      <w:proofErr w:type="spellStart"/>
      <w:r>
        <w:t>Gonosom</w:t>
      </w:r>
      <w:proofErr w:type="spellEnd"/>
      <w:r>
        <w:t xml:space="preserve"> = Geschlechtschromosom)</w:t>
      </w:r>
      <w:r w:rsidR="001C1332">
        <w:t>.</w:t>
      </w:r>
    </w:p>
    <w:p w:rsidR="00455135" w:rsidRDefault="00455135" w:rsidP="009154B6">
      <w:pPr>
        <w:spacing w:after="0" w:line="240" w:lineRule="auto"/>
      </w:pPr>
    </w:p>
    <w:p w:rsidR="002E28E5" w:rsidRPr="002E28E5" w:rsidRDefault="002E28E5" w:rsidP="009154B6">
      <w:pPr>
        <w:spacing w:after="0" w:line="240" w:lineRule="auto"/>
      </w:pPr>
      <w:r w:rsidRPr="002E28E5">
        <w:rPr>
          <w:b/>
        </w:rPr>
        <w:t xml:space="preserve">Zu 5): </w:t>
      </w:r>
      <w:r w:rsidRPr="002E28E5">
        <w:t xml:space="preserve">Bei der Mitose werden die </w:t>
      </w:r>
      <w:r w:rsidRPr="002E28E5">
        <w:rPr>
          <w:u w:val="single"/>
        </w:rPr>
        <w:t>Schwesterchromatiden</w:t>
      </w:r>
      <w:r w:rsidRPr="002E28E5">
        <w:t xml:space="preserve"> gleichmäßig auf beide Tochterkerne verteilt.</w:t>
      </w:r>
    </w:p>
    <w:p w:rsidR="002E28E5" w:rsidRDefault="002E28E5" w:rsidP="009154B6">
      <w:pPr>
        <w:spacing w:after="0" w:line="240" w:lineRule="auto"/>
      </w:pPr>
    </w:p>
    <w:p w:rsidR="00D433AD" w:rsidRDefault="00D433AD" w:rsidP="009154B6">
      <w:pPr>
        <w:spacing w:after="0" w:line="240" w:lineRule="auto"/>
      </w:pPr>
      <w:r w:rsidRPr="00455135">
        <w:rPr>
          <w:b/>
        </w:rPr>
        <w:t xml:space="preserve">Zu </w:t>
      </w:r>
      <w:r w:rsidR="002E28E5">
        <w:rPr>
          <w:b/>
        </w:rPr>
        <w:t>6</w:t>
      </w:r>
      <w:r w:rsidRPr="00455135">
        <w:rPr>
          <w:b/>
        </w:rPr>
        <w:t>):</w:t>
      </w:r>
      <w:r>
        <w:t xml:space="preserve"> Die DNA wir </w:t>
      </w:r>
      <w:r w:rsidRPr="00637751">
        <w:rPr>
          <w:u w:val="single"/>
        </w:rPr>
        <w:t>in der S-Phase (S = Synthese) der Interphase</w:t>
      </w:r>
      <w:r>
        <w:t>, also vor der Kernteilung, verdoppelt.</w:t>
      </w:r>
    </w:p>
    <w:p w:rsidR="00455135" w:rsidRDefault="00455135" w:rsidP="009154B6">
      <w:pPr>
        <w:spacing w:after="0" w:line="240" w:lineRule="auto"/>
      </w:pPr>
    </w:p>
    <w:p w:rsidR="00D433AD" w:rsidRDefault="00D433AD" w:rsidP="009154B6">
      <w:pPr>
        <w:spacing w:after="0" w:line="240" w:lineRule="auto"/>
      </w:pPr>
      <w:r w:rsidRPr="00455135">
        <w:rPr>
          <w:b/>
        </w:rPr>
        <w:t xml:space="preserve">Zu </w:t>
      </w:r>
      <w:r w:rsidR="00CD0B54">
        <w:rPr>
          <w:b/>
        </w:rPr>
        <w:t>8</w:t>
      </w:r>
      <w:r w:rsidRPr="00455135">
        <w:rPr>
          <w:b/>
        </w:rPr>
        <w:t>)</w:t>
      </w:r>
      <w:r>
        <w:t xml:space="preserve">: Nach einer erfolgten Zellteilung können die so entstandenen Zellen </w:t>
      </w:r>
      <w:r w:rsidRPr="00637751">
        <w:rPr>
          <w:u w:val="single"/>
        </w:rPr>
        <w:t>erst</w:t>
      </w:r>
      <w:r>
        <w:t xml:space="preserve"> zur nächsten Mitose überg</w:t>
      </w:r>
      <w:r>
        <w:t>e</w:t>
      </w:r>
      <w:r>
        <w:t xml:space="preserve">hen, </w:t>
      </w:r>
      <w:r w:rsidRPr="00637751">
        <w:rPr>
          <w:u w:val="single"/>
        </w:rPr>
        <w:t>wenn das Erbgut verdoppelt wurde</w:t>
      </w:r>
      <w:r>
        <w:t>.</w:t>
      </w:r>
    </w:p>
    <w:p w:rsidR="00455135" w:rsidRDefault="00455135" w:rsidP="009154B6">
      <w:pPr>
        <w:spacing w:after="0" w:line="240" w:lineRule="auto"/>
      </w:pPr>
    </w:p>
    <w:p w:rsidR="00D433AD" w:rsidRDefault="00D433AD" w:rsidP="009154B6">
      <w:pPr>
        <w:spacing w:after="0" w:line="240" w:lineRule="auto"/>
      </w:pPr>
      <w:r w:rsidRPr="00455135">
        <w:rPr>
          <w:b/>
        </w:rPr>
        <w:t>Zu 1</w:t>
      </w:r>
      <w:r w:rsidR="00CD0B54">
        <w:rPr>
          <w:b/>
        </w:rPr>
        <w:t>0</w:t>
      </w:r>
      <w:r w:rsidRPr="00455135">
        <w:rPr>
          <w:b/>
        </w:rPr>
        <w:t>):</w:t>
      </w:r>
      <w:r>
        <w:t xml:space="preserve"> </w:t>
      </w:r>
      <w:r w:rsidRPr="00BD62A1">
        <w:t xml:space="preserve">Zur geschlechtlichen Fortpflanzung werden durch Meiose </w:t>
      </w:r>
      <w:r w:rsidRPr="00BD62A1">
        <w:rPr>
          <w:u w:val="single"/>
        </w:rPr>
        <w:t>haploide</w:t>
      </w:r>
      <w:r>
        <w:t xml:space="preserve"> Keimzellen gebildet, da nur d</w:t>
      </w:r>
      <w:r>
        <w:t>a</w:t>
      </w:r>
      <w:r>
        <w:t xml:space="preserve">durch gewährleistet ist, dass bei einer Befruchtung der </w:t>
      </w:r>
      <w:r w:rsidR="00CD0B54">
        <w:t>a</w:t>
      </w:r>
      <w:r>
        <w:t>rtkonstante Chromosomensatz konstant gehalten wird.</w:t>
      </w:r>
    </w:p>
    <w:p w:rsidR="00455135" w:rsidRDefault="00455135" w:rsidP="009154B6">
      <w:pPr>
        <w:spacing w:after="0" w:line="240" w:lineRule="auto"/>
      </w:pPr>
    </w:p>
    <w:p w:rsidR="002D6AB4" w:rsidRDefault="002D6AB4" w:rsidP="009154B6">
      <w:pPr>
        <w:spacing w:after="0" w:line="240" w:lineRule="auto"/>
      </w:pPr>
      <w:r w:rsidRPr="00455135">
        <w:rPr>
          <w:b/>
        </w:rPr>
        <w:t>Zu 1</w:t>
      </w:r>
      <w:r w:rsidR="00CD0B54">
        <w:rPr>
          <w:b/>
        </w:rPr>
        <w:t>1</w:t>
      </w:r>
      <w:r w:rsidRPr="00455135">
        <w:rPr>
          <w:b/>
        </w:rPr>
        <w:t>):</w:t>
      </w:r>
      <w:r>
        <w:t xml:space="preserve"> Die Meiose hat eine Reduktion des Chromosomensatzes in Keimzellen zur Folge. Rekombination sorgt dabei für </w:t>
      </w:r>
      <w:r w:rsidRPr="002D6AB4">
        <w:rPr>
          <w:u w:val="single"/>
        </w:rPr>
        <w:t>eine Neukombination des Erbmaterials der entstehenden Keimzellen</w:t>
      </w:r>
      <w:r>
        <w:t xml:space="preserve">. Dies ist die Grundlage für die genetische </w:t>
      </w:r>
      <w:r w:rsidRPr="002D6AB4">
        <w:rPr>
          <w:u w:val="single"/>
        </w:rPr>
        <w:t>Variabilität</w:t>
      </w:r>
      <w:r>
        <w:t xml:space="preserve"> sich sexuell vermehrender Organismen.</w:t>
      </w:r>
    </w:p>
    <w:p w:rsidR="00455135" w:rsidRDefault="00455135" w:rsidP="009154B6">
      <w:pPr>
        <w:spacing w:after="0" w:line="240" w:lineRule="auto"/>
      </w:pPr>
    </w:p>
    <w:p w:rsidR="00CD0B54" w:rsidRDefault="00CD0B54" w:rsidP="009154B6">
      <w:pPr>
        <w:spacing w:after="0" w:line="240" w:lineRule="auto"/>
      </w:pPr>
      <w:r w:rsidRPr="00CD0B54">
        <w:rPr>
          <w:b/>
        </w:rPr>
        <w:t>Zu 12):</w:t>
      </w:r>
      <w:r w:rsidRPr="00CD0B54">
        <w:t xml:space="preserve"> </w:t>
      </w:r>
      <w:r w:rsidRPr="00BD62A1">
        <w:t xml:space="preserve">Die Erbinformation beruht auf der Abfolge der </w:t>
      </w:r>
      <w:r>
        <w:t>Basensequenz der DNA.</w:t>
      </w:r>
    </w:p>
    <w:p w:rsidR="00CD0B54" w:rsidRDefault="00CD0B54" w:rsidP="009154B6">
      <w:pPr>
        <w:spacing w:after="0" w:line="240" w:lineRule="auto"/>
      </w:pPr>
    </w:p>
    <w:p w:rsidR="00D433AD" w:rsidRDefault="002D6AB4" w:rsidP="009154B6">
      <w:pPr>
        <w:spacing w:after="0" w:line="240" w:lineRule="auto"/>
      </w:pPr>
      <w:r w:rsidRPr="00455135">
        <w:rPr>
          <w:b/>
        </w:rPr>
        <w:t>Zu 1</w:t>
      </w:r>
      <w:r w:rsidR="003F18DE">
        <w:rPr>
          <w:b/>
        </w:rPr>
        <w:t>5</w:t>
      </w:r>
      <w:r w:rsidRPr="00455135">
        <w:rPr>
          <w:b/>
        </w:rPr>
        <w:t>):</w:t>
      </w:r>
      <w:r>
        <w:t xml:space="preserve"> Kreuzt man zwei Individuen einer Art, die sich in einem Merkmal unterscheiden, für das sie reine</w:t>
      </w:r>
      <w:r>
        <w:t>r</w:t>
      </w:r>
      <w:r>
        <w:t xml:space="preserve">big sind, so sind die Nachkommen der F1-Generation phänotypisch </w:t>
      </w:r>
      <w:r w:rsidRPr="00455135">
        <w:rPr>
          <w:u w:val="single"/>
        </w:rPr>
        <w:t>uniform</w:t>
      </w:r>
      <w:r>
        <w:t>.</w:t>
      </w:r>
    </w:p>
    <w:p w:rsidR="00455135" w:rsidRDefault="00455135" w:rsidP="009154B6">
      <w:pPr>
        <w:spacing w:after="0" w:line="240" w:lineRule="auto"/>
      </w:pPr>
    </w:p>
    <w:p w:rsidR="00D433AD" w:rsidRDefault="00C22467" w:rsidP="009154B6">
      <w:pPr>
        <w:spacing w:after="0" w:line="240" w:lineRule="auto"/>
      </w:pPr>
      <w:r w:rsidRPr="00C22467">
        <w:rPr>
          <w:b/>
        </w:rPr>
        <w:t>Zu 16):</w:t>
      </w:r>
      <w:r>
        <w:t xml:space="preserve"> Eine spontane Veränderung der DNA wird </w:t>
      </w:r>
      <w:r w:rsidRPr="00C22467">
        <w:rPr>
          <w:u w:val="single"/>
        </w:rPr>
        <w:t>Mutation</w:t>
      </w:r>
      <w:r>
        <w:t xml:space="preserve"> genannt.</w:t>
      </w:r>
    </w:p>
    <w:p w:rsidR="00EE237E" w:rsidRPr="00BD62A1" w:rsidRDefault="00EE237E" w:rsidP="009154B6">
      <w:pPr>
        <w:spacing w:after="0" w:line="240" w:lineRule="auto"/>
      </w:pPr>
    </w:p>
    <w:sectPr w:rsidR="00EE237E" w:rsidRPr="00BD62A1" w:rsidSect="009154B6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65F9" w:rsidRDefault="00BD65F9" w:rsidP="00CA4231">
      <w:pPr>
        <w:spacing w:after="0" w:line="240" w:lineRule="auto"/>
      </w:pPr>
      <w:r>
        <w:separator/>
      </w:r>
    </w:p>
  </w:endnote>
  <w:endnote w:type="continuationSeparator" w:id="0">
    <w:p w:rsidR="00BD65F9" w:rsidRDefault="00BD65F9" w:rsidP="00CA4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65F9" w:rsidRDefault="00BD65F9" w:rsidP="00CA4231">
      <w:pPr>
        <w:spacing w:after="0" w:line="240" w:lineRule="auto"/>
      </w:pPr>
      <w:r>
        <w:separator/>
      </w:r>
    </w:p>
  </w:footnote>
  <w:footnote w:type="continuationSeparator" w:id="0">
    <w:p w:rsidR="00BD65F9" w:rsidRDefault="00BD65F9" w:rsidP="00CA4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10126"/>
      <w:docPartObj>
        <w:docPartGallery w:val="Page Numbers (Top of Page)"/>
        <w:docPartUnique/>
      </w:docPartObj>
    </w:sdtPr>
    <w:sdtContent>
      <w:p w:rsidR="00CA4231" w:rsidRDefault="00B90F8E" w:rsidP="00CA4231">
        <w:pPr>
          <w:pStyle w:val="Kopfzeile"/>
          <w:jc w:val="right"/>
        </w:pPr>
        <w:fldSimple w:instr=" PAGE   \* MERGEFORMAT ">
          <w:r w:rsidR="00C22467">
            <w:rPr>
              <w:noProof/>
            </w:rPr>
            <w:t>3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95408"/>
    <w:multiLevelType w:val="hybridMultilevel"/>
    <w:tmpl w:val="DAA8DE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25091B"/>
    <w:multiLevelType w:val="hybridMultilevel"/>
    <w:tmpl w:val="00B2F164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351DA"/>
    <w:multiLevelType w:val="hybridMultilevel"/>
    <w:tmpl w:val="DCB6DE0C"/>
    <w:lvl w:ilvl="0" w:tplc="0407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426AE"/>
    <w:multiLevelType w:val="hybridMultilevel"/>
    <w:tmpl w:val="5EEAB07C"/>
    <w:lvl w:ilvl="0" w:tplc="0407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DB46CE4"/>
    <w:multiLevelType w:val="hybridMultilevel"/>
    <w:tmpl w:val="DCB6DE0C"/>
    <w:lvl w:ilvl="0" w:tplc="0407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156" w:hanging="360"/>
      </w:pPr>
    </w:lvl>
    <w:lvl w:ilvl="2" w:tplc="0407001B" w:tentative="1">
      <w:start w:val="1"/>
      <w:numFmt w:val="lowerRoman"/>
      <w:lvlText w:val="%3."/>
      <w:lvlJc w:val="right"/>
      <w:pPr>
        <w:ind w:left="1876" w:hanging="180"/>
      </w:pPr>
    </w:lvl>
    <w:lvl w:ilvl="3" w:tplc="0407000F" w:tentative="1">
      <w:start w:val="1"/>
      <w:numFmt w:val="decimal"/>
      <w:lvlText w:val="%4."/>
      <w:lvlJc w:val="left"/>
      <w:pPr>
        <w:ind w:left="2596" w:hanging="360"/>
      </w:pPr>
    </w:lvl>
    <w:lvl w:ilvl="4" w:tplc="04070019" w:tentative="1">
      <w:start w:val="1"/>
      <w:numFmt w:val="lowerLetter"/>
      <w:lvlText w:val="%5."/>
      <w:lvlJc w:val="left"/>
      <w:pPr>
        <w:ind w:left="3316" w:hanging="360"/>
      </w:pPr>
    </w:lvl>
    <w:lvl w:ilvl="5" w:tplc="0407001B" w:tentative="1">
      <w:start w:val="1"/>
      <w:numFmt w:val="lowerRoman"/>
      <w:lvlText w:val="%6."/>
      <w:lvlJc w:val="right"/>
      <w:pPr>
        <w:ind w:left="4036" w:hanging="180"/>
      </w:pPr>
    </w:lvl>
    <w:lvl w:ilvl="6" w:tplc="0407000F" w:tentative="1">
      <w:start w:val="1"/>
      <w:numFmt w:val="decimal"/>
      <w:lvlText w:val="%7."/>
      <w:lvlJc w:val="left"/>
      <w:pPr>
        <w:ind w:left="4756" w:hanging="360"/>
      </w:pPr>
    </w:lvl>
    <w:lvl w:ilvl="7" w:tplc="04070019" w:tentative="1">
      <w:start w:val="1"/>
      <w:numFmt w:val="lowerLetter"/>
      <w:lvlText w:val="%8."/>
      <w:lvlJc w:val="left"/>
      <w:pPr>
        <w:ind w:left="5476" w:hanging="360"/>
      </w:pPr>
    </w:lvl>
    <w:lvl w:ilvl="8" w:tplc="0407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">
    <w:nsid w:val="3E592FBC"/>
    <w:multiLevelType w:val="hybridMultilevel"/>
    <w:tmpl w:val="0100C7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DD31502"/>
    <w:multiLevelType w:val="hybridMultilevel"/>
    <w:tmpl w:val="60340B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26F59A9"/>
    <w:multiLevelType w:val="hybridMultilevel"/>
    <w:tmpl w:val="DCB6DE0C"/>
    <w:lvl w:ilvl="0" w:tplc="0407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6"/>
  </w:num>
  <w:num w:numId="6">
    <w:abstractNumId w:val="0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3538"/>
    <w:rsid w:val="00012F94"/>
    <w:rsid w:val="0003282B"/>
    <w:rsid w:val="00093965"/>
    <w:rsid w:val="00111CB4"/>
    <w:rsid w:val="00172A65"/>
    <w:rsid w:val="001C1332"/>
    <w:rsid w:val="001C1E44"/>
    <w:rsid w:val="001D5A00"/>
    <w:rsid w:val="001E5281"/>
    <w:rsid w:val="002D6AB4"/>
    <w:rsid w:val="002E28E5"/>
    <w:rsid w:val="00300ABA"/>
    <w:rsid w:val="003811CB"/>
    <w:rsid w:val="003C7A5C"/>
    <w:rsid w:val="003F18DE"/>
    <w:rsid w:val="00430E04"/>
    <w:rsid w:val="0044111D"/>
    <w:rsid w:val="00455135"/>
    <w:rsid w:val="00490724"/>
    <w:rsid w:val="00571D80"/>
    <w:rsid w:val="00634116"/>
    <w:rsid w:val="00637751"/>
    <w:rsid w:val="008227C0"/>
    <w:rsid w:val="00880BEA"/>
    <w:rsid w:val="008D5A3B"/>
    <w:rsid w:val="009154B6"/>
    <w:rsid w:val="009B4F94"/>
    <w:rsid w:val="00A24A3F"/>
    <w:rsid w:val="00A45097"/>
    <w:rsid w:val="00A97973"/>
    <w:rsid w:val="00AF0ACE"/>
    <w:rsid w:val="00B14C0D"/>
    <w:rsid w:val="00B23538"/>
    <w:rsid w:val="00B322D1"/>
    <w:rsid w:val="00B90F8E"/>
    <w:rsid w:val="00BC20B0"/>
    <w:rsid w:val="00BD62A1"/>
    <w:rsid w:val="00BD65F9"/>
    <w:rsid w:val="00BE6601"/>
    <w:rsid w:val="00C22467"/>
    <w:rsid w:val="00C320D7"/>
    <w:rsid w:val="00C44F7A"/>
    <w:rsid w:val="00C61BF1"/>
    <w:rsid w:val="00CA4231"/>
    <w:rsid w:val="00CD0B54"/>
    <w:rsid w:val="00D433AD"/>
    <w:rsid w:val="00D869DA"/>
    <w:rsid w:val="00DB0922"/>
    <w:rsid w:val="00E63AE0"/>
    <w:rsid w:val="00EE237E"/>
    <w:rsid w:val="00EE486A"/>
    <w:rsid w:val="00EF58E4"/>
    <w:rsid w:val="00F7680B"/>
    <w:rsid w:val="00FA6301"/>
    <w:rsid w:val="00FC2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28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B235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EF58E4"/>
    <w:pPr>
      <w:ind w:left="720"/>
      <w:contextualSpacing/>
    </w:pPr>
  </w:style>
  <w:style w:type="character" w:styleId="Hyperlink">
    <w:name w:val="Hyperlink"/>
    <w:basedOn w:val="Absatz-Standardschriftart"/>
    <w:semiHidden/>
    <w:unhideWhenUsed/>
    <w:rsid w:val="00BE6601"/>
    <w:rPr>
      <w:color w:val="0000FF"/>
      <w:u w:val="single"/>
    </w:rPr>
  </w:style>
  <w:style w:type="paragraph" w:styleId="Titel">
    <w:name w:val="Title"/>
    <w:basedOn w:val="Standard"/>
    <w:link w:val="TitelZchn"/>
    <w:qFormat/>
    <w:rsid w:val="00BE6601"/>
    <w:pPr>
      <w:spacing w:after="0" w:line="360" w:lineRule="auto"/>
      <w:jc w:val="center"/>
    </w:pPr>
    <w:rPr>
      <w:rFonts w:ascii="Verdana" w:eastAsia="Times New Roman" w:hAnsi="Verdana" w:cs="Times New Roman"/>
      <w:b/>
      <w:bCs/>
      <w:sz w:val="24"/>
      <w:szCs w:val="24"/>
      <w:u w:val="single"/>
      <w:lang w:eastAsia="de-DE"/>
    </w:rPr>
  </w:style>
  <w:style w:type="character" w:customStyle="1" w:styleId="TitelZchn">
    <w:name w:val="Titel Zchn"/>
    <w:basedOn w:val="Absatz-Standardschriftart"/>
    <w:link w:val="Titel"/>
    <w:rsid w:val="00BE6601"/>
    <w:rPr>
      <w:rFonts w:ascii="Verdana" w:eastAsia="Times New Roman" w:hAnsi="Verdana" w:cs="Times New Roman"/>
      <w:b/>
      <w:bCs/>
      <w:sz w:val="24"/>
      <w:szCs w:val="24"/>
      <w:u w:val="single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4B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CA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A4231"/>
  </w:style>
  <w:style w:type="paragraph" w:styleId="Fuzeile">
    <w:name w:val="footer"/>
    <w:basedOn w:val="Standard"/>
    <w:link w:val="FuzeileZchn"/>
    <w:uiPriority w:val="99"/>
    <w:semiHidden/>
    <w:unhideWhenUsed/>
    <w:rsid w:val="00CA42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CA4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1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llig.eduvinet.de/bio/Repetito/Meiose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allig.eduvinet.de/bio/Repetito/Mitose1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mallig.eduvinet.de/bio/Repetito/Genetik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llig.eduvinet.de/bio/Repetito/Karyog.html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821</Words>
  <Characters>5178</Characters>
  <Application>Microsoft Office Word</Application>
  <DocSecurity>0</DocSecurity>
  <Lines>43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Mayer und Hoffmann</dc:creator>
  <cp:keywords/>
  <dc:description/>
  <cp:lastModifiedBy>Hoffmann</cp:lastModifiedBy>
  <cp:revision>3</cp:revision>
  <cp:lastPrinted>2010-09-02T15:21:00Z</cp:lastPrinted>
  <dcterms:created xsi:type="dcterms:W3CDTF">2010-11-28T11:48:00Z</dcterms:created>
  <dcterms:modified xsi:type="dcterms:W3CDTF">2010-12-28T16:49:00Z</dcterms:modified>
</cp:coreProperties>
</file>