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AF2" w:rsidRPr="00125C25" w:rsidRDefault="00D23AF2" w:rsidP="00D23AF2">
      <w:pPr>
        <w:rPr>
          <w:b/>
          <w:sz w:val="32"/>
          <w:szCs w:val="32"/>
        </w:rPr>
      </w:pPr>
      <w:r w:rsidRPr="00125C25">
        <w:rPr>
          <w:b/>
          <w:sz w:val="32"/>
          <w:szCs w:val="32"/>
        </w:rPr>
        <w:t>Experimentieren in der Jahrgangstufe 9 und 10</w:t>
      </w:r>
    </w:p>
    <w:p w:rsidR="00A52AE2" w:rsidRDefault="00D23AF2" w:rsidP="00D23AF2">
      <w:pPr>
        <w:pStyle w:val="KeinLeerraum"/>
        <w:jc w:val="both"/>
      </w:pPr>
      <w:r w:rsidRPr="00125C25">
        <w:rPr>
          <w:b/>
          <w:sz w:val="32"/>
          <w:szCs w:val="32"/>
        </w:rPr>
        <w:t>Experiment „Reaktionszeit“</w:t>
      </w:r>
      <w:r>
        <w:rPr>
          <w:b/>
          <w:sz w:val="32"/>
          <w:szCs w:val="32"/>
        </w:rPr>
        <w:t xml:space="preserve"> - Verlauf</w:t>
      </w:r>
      <w:r>
        <w:t xml:space="preserve"> </w:t>
      </w:r>
      <w:r w:rsidR="00A52AE2">
        <w:t xml:space="preserve">Das Unterrichtsbeispiel </w:t>
      </w:r>
      <w:r w:rsidR="00C011D1">
        <w:t>„</w:t>
      </w:r>
      <w:r w:rsidR="00A52AE2">
        <w:t>Reaktionszeit</w:t>
      </w:r>
      <w:r w:rsidR="00C011D1">
        <w:t>“</w:t>
      </w:r>
      <w:r w:rsidR="00A52AE2">
        <w:t xml:space="preserve"> </w:t>
      </w:r>
      <w:r w:rsidR="003C0B2F">
        <w:t>kann als Einstieg in den Themenkomplex</w:t>
      </w:r>
      <w:r w:rsidR="00C011D1">
        <w:t xml:space="preserve"> Sinnes-</w:t>
      </w:r>
      <w:r w:rsidR="00A52AE2">
        <w:t xml:space="preserve">und Nervenphysiologie </w:t>
      </w:r>
      <w:r w:rsidR="003C0B2F">
        <w:t>gewählt werden</w:t>
      </w:r>
      <w:r w:rsidR="00C011D1">
        <w:t>. Ebenfalls den</w:t>
      </w:r>
      <w:r w:rsidR="00C011D1">
        <w:t>k</w:t>
      </w:r>
      <w:r w:rsidR="00C011D1">
        <w:t>bar wäre der Einsatz</w:t>
      </w:r>
      <w:r w:rsidR="0014590C">
        <w:t xml:space="preserve"> innerhalb der Einheit</w:t>
      </w:r>
      <w:r w:rsidR="00C011D1">
        <w:t>,</w:t>
      </w:r>
      <w:r w:rsidR="0014590C">
        <w:t xml:space="preserve"> nachdem sich die Schülerinnen und Schüler </w:t>
      </w:r>
      <w:r w:rsidR="00C011D1">
        <w:t>mit dem</w:t>
      </w:r>
      <w:r w:rsidR="0014590C">
        <w:t xml:space="preserve"> Ne</w:t>
      </w:r>
      <w:r w:rsidR="0014590C">
        <w:t>r</w:t>
      </w:r>
      <w:r w:rsidR="0014590C">
        <w:t>vensystem</w:t>
      </w:r>
      <w:r w:rsidR="00C011D1">
        <w:t xml:space="preserve"> vertraut gemacht haben</w:t>
      </w:r>
      <w:r w:rsidR="0014590C">
        <w:t xml:space="preserve"> und die grundlegende Bedeutung des peripheren, des zentralen und des vegetativen Nervensystems </w:t>
      </w:r>
      <w:r w:rsidR="001C1DE0">
        <w:t>erfasst</w:t>
      </w:r>
      <w:r w:rsidR="0014590C">
        <w:t xml:space="preserve"> haben.</w:t>
      </w:r>
    </w:p>
    <w:p w:rsidR="00A52AE2" w:rsidRDefault="001C1DE0" w:rsidP="00AA56CB">
      <w:pPr>
        <w:pStyle w:val="KeinLeerraum"/>
        <w:jc w:val="both"/>
      </w:pPr>
      <w:r>
        <w:t>Die Unterrichtseinheit</w:t>
      </w:r>
      <w:r w:rsidR="003C0B2F">
        <w:t xml:space="preserve"> kann auch mit Erweiterungen in der Kursstufe im Themenbereich </w:t>
      </w:r>
      <w:r w:rsidR="00C011D1">
        <w:t>„Verarbe</w:t>
      </w:r>
      <w:r w:rsidR="00C011D1">
        <w:t>i</w:t>
      </w:r>
      <w:r w:rsidR="00C011D1">
        <w:t xml:space="preserve">tung von </w:t>
      </w:r>
      <w:r w:rsidR="00C011D1" w:rsidRPr="00C011D1">
        <w:t>Information“, z.</w:t>
      </w:r>
      <w:r w:rsidR="003C0B2F" w:rsidRPr="00C011D1">
        <w:t xml:space="preserve"> B. Fremdreflex</w:t>
      </w:r>
      <w:r w:rsidR="00C011D1" w:rsidRPr="00C011D1">
        <w:t>,</w:t>
      </w:r>
      <w:r w:rsidR="003C0B2F" w:rsidRPr="00C011D1">
        <w:t xml:space="preserve"> eingesetzt werden.</w:t>
      </w:r>
    </w:p>
    <w:p w:rsidR="00C011D1" w:rsidRPr="00C011D1" w:rsidRDefault="00C011D1" w:rsidP="00AA56CB">
      <w:pPr>
        <w:pStyle w:val="KeinLeerraum"/>
        <w:jc w:val="both"/>
      </w:pPr>
    </w:p>
    <w:p w:rsidR="00782E7C" w:rsidRDefault="00C011D1" w:rsidP="00AA56CB">
      <w:pPr>
        <w:jc w:val="both"/>
        <w:rPr>
          <w:b/>
        </w:rPr>
      </w:pPr>
      <w:r>
        <w:rPr>
          <w:b/>
        </w:rPr>
        <w:t>Verlauf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04"/>
        <w:gridCol w:w="2260"/>
        <w:gridCol w:w="3924"/>
      </w:tblGrid>
      <w:tr w:rsidR="003F3DCE" w:rsidRPr="00782E7C">
        <w:tc>
          <w:tcPr>
            <w:tcW w:w="0" w:type="auto"/>
          </w:tcPr>
          <w:p w:rsidR="00782E7C" w:rsidRPr="00782E7C" w:rsidRDefault="00782E7C" w:rsidP="00AA56CB">
            <w:pPr>
              <w:spacing w:after="0" w:line="240" w:lineRule="auto"/>
              <w:jc w:val="both"/>
              <w:rPr>
                <w:b/>
              </w:rPr>
            </w:pPr>
            <w:r w:rsidRPr="00782E7C">
              <w:rPr>
                <w:b/>
              </w:rPr>
              <w:t>Arbeitsphase</w:t>
            </w:r>
          </w:p>
        </w:tc>
        <w:tc>
          <w:tcPr>
            <w:tcW w:w="0" w:type="auto"/>
          </w:tcPr>
          <w:p w:rsidR="00782E7C" w:rsidRPr="00782E7C" w:rsidRDefault="00782E7C" w:rsidP="00AA56CB">
            <w:pPr>
              <w:spacing w:after="0" w:line="240" w:lineRule="auto"/>
              <w:jc w:val="both"/>
              <w:rPr>
                <w:b/>
              </w:rPr>
            </w:pPr>
            <w:r w:rsidRPr="00782E7C">
              <w:rPr>
                <w:b/>
              </w:rPr>
              <w:t>Organisationsform</w:t>
            </w:r>
          </w:p>
        </w:tc>
        <w:tc>
          <w:tcPr>
            <w:tcW w:w="0" w:type="auto"/>
          </w:tcPr>
          <w:p w:rsidR="00782E7C" w:rsidRPr="00782E7C" w:rsidRDefault="00ED3FF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Arbeitsschritte</w:t>
            </w:r>
          </w:p>
        </w:tc>
      </w:tr>
      <w:tr w:rsidR="0014590C" w:rsidRPr="00782E7C">
        <w:tc>
          <w:tcPr>
            <w:tcW w:w="0" w:type="auto"/>
          </w:tcPr>
          <w:p w:rsidR="0014590C" w:rsidRDefault="0014590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Einstieg/Problematisierung</w:t>
            </w:r>
          </w:p>
          <w:p w:rsidR="00661CBD" w:rsidRDefault="00661CBD" w:rsidP="00AA56CB">
            <w:pPr>
              <w:spacing w:after="0" w:line="240" w:lineRule="auto"/>
              <w:jc w:val="both"/>
              <w:rPr>
                <w:b/>
              </w:rPr>
            </w:pPr>
          </w:p>
          <w:p w:rsidR="00661CBD" w:rsidRDefault="00661CBD" w:rsidP="00AA56CB">
            <w:pPr>
              <w:spacing w:after="0" w:line="240" w:lineRule="auto"/>
              <w:jc w:val="both"/>
              <w:rPr>
                <w:b/>
              </w:rPr>
            </w:pPr>
          </w:p>
          <w:p w:rsidR="00661CBD" w:rsidRPr="00782E7C" w:rsidRDefault="00661CBD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Fragestellung</w:t>
            </w:r>
          </w:p>
        </w:tc>
        <w:tc>
          <w:tcPr>
            <w:tcW w:w="0" w:type="auto"/>
          </w:tcPr>
          <w:p w:rsidR="0014590C" w:rsidRPr="00661CBD" w:rsidRDefault="0014590C" w:rsidP="00AA56CB">
            <w:pPr>
              <w:spacing w:after="0" w:line="240" w:lineRule="auto"/>
              <w:jc w:val="both"/>
            </w:pPr>
            <w:r w:rsidRPr="00661CBD">
              <w:t>Lehrkraft</w:t>
            </w:r>
          </w:p>
        </w:tc>
        <w:tc>
          <w:tcPr>
            <w:tcW w:w="0" w:type="auto"/>
          </w:tcPr>
          <w:p w:rsidR="0014590C" w:rsidRDefault="0014590C" w:rsidP="00AA56CB">
            <w:pPr>
              <w:spacing w:after="0" w:line="240" w:lineRule="auto"/>
              <w:jc w:val="both"/>
            </w:pPr>
            <w:r w:rsidRPr="00661CBD">
              <w:t xml:space="preserve">Einstieg über </w:t>
            </w:r>
            <w:r w:rsidR="004F7475">
              <w:t>Reaktionsstart</w:t>
            </w:r>
            <w:r w:rsidR="00661CBD">
              <w:t xml:space="preserve"> oder alte</w:t>
            </w:r>
            <w:r w:rsidR="00661CBD">
              <w:t>r</w:t>
            </w:r>
            <w:r w:rsidR="00661CBD">
              <w:t>nativer Einstieg „Schrecksekunde“</w:t>
            </w:r>
            <w:r w:rsidR="009657F8">
              <w:t>.</w:t>
            </w:r>
          </w:p>
          <w:p w:rsidR="00661CBD" w:rsidRPr="00661CBD" w:rsidRDefault="00661CBD" w:rsidP="004F7475">
            <w:pPr>
              <w:spacing w:after="0" w:line="240" w:lineRule="auto"/>
              <w:jc w:val="both"/>
            </w:pPr>
            <w:r>
              <w:t xml:space="preserve">Wovon hängt es ab, welcher </w:t>
            </w:r>
            <w:r w:rsidR="004F7475">
              <w:t>Schüler den ersten Schritt macht</w:t>
            </w:r>
            <w:r w:rsidR="001C1DE0">
              <w:t>?</w:t>
            </w:r>
          </w:p>
        </w:tc>
      </w:tr>
      <w:tr w:rsidR="003F3DCE" w:rsidRPr="00782E7C">
        <w:tc>
          <w:tcPr>
            <w:tcW w:w="0" w:type="auto"/>
          </w:tcPr>
          <w:p w:rsidR="00782E7C" w:rsidRPr="00782E7C" w:rsidRDefault="00782E7C" w:rsidP="00AA56CB">
            <w:pPr>
              <w:spacing w:after="0" w:line="240" w:lineRule="auto"/>
              <w:jc w:val="both"/>
              <w:rPr>
                <w:b/>
              </w:rPr>
            </w:pPr>
            <w:r w:rsidRPr="00782E7C">
              <w:rPr>
                <w:b/>
              </w:rPr>
              <w:t>Fragestellung</w:t>
            </w:r>
          </w:p>
        </w:tc>
        <w:tc>
          <w:tcPr>
            <w:tcW w:w="0" w:type="auto"/>
          </w:tcPr>
          <w:p w:rsidR="00782E7C" w:rsidRPr="00782E7C" w:rsidRDefault="00782E7C" w:rsidP="00AA56CB">
            <w:pPr>
              <w:spacing w:after="0" w:line="240" w:lineRule="auto"/>
              <w:jc w:val="both"/>
            </w:pPr>
            <w:r w:rsidRPr="00782E7C">
              <w:t>Lehrkraft</w:t>
            </w:r>
          </w:p>
        </w:tc>
        <w:tc>
          <w:tcPr>
            <w:tcW w:w="0" w:type="auto"/>
          </w:tcPr>
          <w:p w:rsidR="00C011D1" w:rsidRPr="00661CBD" w:rsidRDefault="00661CBD" w:rsidP="00AA56C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61CBD">
              <w:t>Wie „schnell“ ist die eigene Reaktionszeit?</w:t>
            </w:r>
          </w:p>
          <w:p w:rsidR="00661CBD" w:rsidRPr="00661CBD" w:rsidRDefault="00661CBD" w:rsidP="00AA56C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61CBD">
              <w:t>Auf welche Weise können wir die individuelle Reaktionszeit ermi</w:t>
            </w:r>
            <w:r w:rsidRPr="00661CBD">
              <w:t>t</w:t>
            </w:r>
            <w:r w:rsidRPr="00661CBD">
              <w:t>teln?</w:t>
            </w:r>
          </w:p>
          <w:p w:rsidR="00661CBD" w:rsidRPr="00782E7C" w:rsidRDefault="00661CBD" w:rsidP="00AA56CB">
            <w:pPr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61CBD">
              <w:t>Welche äußeren Faktoren kö</w:t>
            </w:r>
            <w:r w:rsidRPr="00661CBD">
              <w:t>n</w:t>
            </w:r>
            <w:r w:rsidRPr="00661CBD">
              <w:t>nen die individuelle Reaktion</w:t>
            </w:r>
            <w:r w:rsidRPr="00661CBD">
              <w:t>s</w:t>
            </w:r>
            <w:r w:rsidRPr="00661CBD">
              <w:t>zeit beeinflussen?</w:t>
            </w:r>
          </w:p>
        </w:tc>
      </w:tr>
      <w:tr w:rsidR="003F3DCE" w:rsidRPr="00782E7C">
        <w:tc>
          <w:tcPr>
            <w:tcW w:w="0" w:type="auto"/>
          </w:tcPr>
          <w:p w:rsidR="006208E5" w:rsidRDefault="006208E5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Vorüberlegungen</w:t>
            </w:r>
            <w:r w:rsidR="007213B4">
              <w:rPr>
                <w:b/>
              </w:rPr>
              <w:t>/Planung einer Methode zur Ermittlung der individuellen Reaktionszeit</w:t>
            </w:r>
          </w:p>
          <w:p w:rsidR="006208E5" w:rsidRPr="00782E7C" w:rsidRDefault="006208E5" w:rsidP="00AA56C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C011D1" w:rsidRDefault="00510A08" w:rsidP="00AA56CB">
            <w:pPr>
              <w:spacing w:after="0" w:line="240" w:lineRule="auto"/>
              <w:jc w:val="both"/>
            </w:pPr>
            <w:r>
              <w:t>Arbe</w:t>
            </w:r>
            <w:r w:rsidR="00C011D1">
              <w:t>itsgruppen</w:t>
            </w:r>
          </w:p>
          <w:p w:rsidR="006208E5" w:rsidRDefault="006208E5" w:rsidP="00AA56CB">
            <w:pPr>
              <w:spacing w:after="0" w:line="240" w:lineRule="auto"/>
              <w:jc w:val="both"/>
            </w:pPr>
            <w:r>
              <w:t>Planun</w:t>
            </w:r>
            <w:r w:rsidR="00510A08">
              <w:t>g</w:t>
            </w:r>
            <w:r w:rsidR="00DB1CEC">
              <w:t xml:space="preserve"> mit</w:t>
            </w:r>
          </w:p>
          <w:p w:rsidR="00510A08" w:rsidRPr="00782E7C" w:rsidRDefault="00C209D2" w:rsidP="00AA56CB">
            <w:pPr>
              <w:spacing w:after="0" w:line="240" w:lineRule="auto"/>
              <w:jc w:val="both"/>
            </w:pPr>
            <w:r>
              <w:t>a</w:t>
            </w:r>
            <w:r w:rsidR="007213B4">
              <w:t xml:space="preserve">usgelegten </w:t>
            </w:r>
            <w:r w:rsidR="00510A08">
              <w:t>Materi</w:t>
            </w:r>
            <w:r w:rsidR="00510A08">
              <w:t>a</w:t>
            </w:r>
            <w:r w:rsidR="00510A08">
              <w:t xml:space="preserve">lien </w:t>
            </w:r>
          </w:p>
        </w:tc>
        <w:tc>
          <w:tcPr>
            <w:tcW w:w="0" w:type="auto"/>
          </w:tcPr>
          <w:p w:rsidR="006208E5" w:rsidRDefault="00C209D2" w:rsidP="00AA56CB">
            <w:pPr>
              <w:spacing w:after="0" w:line="240" w:lineRule="auto"/>
              <w:jc w:val="both"/>
            </w:pPr>
            <w:r>
              <w:t xml:space="preserve">1. Zusammenhang zwischen </w:t>
            </w:r>
            <w:r w:rsidR="009657F8">
              <w:t>Falltiefe und Fallzeit erkennen.</w:t>
            </w:r>
          </w:p>
          <w:p w:rsidR="00C209D2" w:rsidRDefault="00C209D2" w:rsidP="00AA56CB">
            <w:pPr>
              <w:spacing w:after="0" w:line="240" w:lineRule="auto"/>
              <w:jc w:val="both"/>
            </w:pPr>
            <w:r>
              <w:t>2. Reaktionszeit kann mit Fallzeit gleic</w:t>
            </w:r>
            <w:r>
              <w:t>h</w:t>
            </w:r>
            <w:r>
              <w:t>ge</w:t>
            </w:r>
            <w:r w:rsidR="009657F8">
              <w:t>setzt werden.</w:t>
            </w:r>
          </w:p>
          <w:p w:rsidR="00C209D2" w:rsidRPr="00782E7C" w:rsidRDefault="00C209D2" w:rsidP="00AA56CB">
            <w:pPr>
              <w:spacing w:after="0" w:line="240" w:lineRule="auto"/>
              <w:jc w:val="both"/>
            </w:pPr>
            <w:r>
              <w:t>3. Ausarbeitung einer möglichst standa</w:t>
            </w:r>
            <w:r>
              <w:t>r</w:t>
            </w:r>
            <w:r>
              <w:t>disierten Messmethode zur Ermittlung der individuellen Reaktionszeit</w:t>
            </w:r>
            <w:r w:rsidR="009657F8">
              <w:t>.</w:t>
            </w:r>
          </w:p>
        </w:tc>
      </w:tr>
      <w:tr w:rsidR="003F3DCE" w:rsidRPr="00782E7C">
        <w:tc>
          <w:tcPr>
            <w:tcW w:w="0" w:type="auto"/>
          </w:tcPr>
          <w:p w:rsidR="00510A08" w:rsidRPr="00510A08" w:rsidRDefault="00661CBD" w:rsidP="009657F8">
            <w:pPr>
              <w:jc w:val="both"/>
              <w:rPr>
                <w:b/>
              </w:rPr>
            </w:pPr>
            <w:r>
              <w:rPr>
                <w:b/>
              </w:rPr>
              <w:t>Austausch</w:t>
            </w:r>
            <w:r w:rsidR="009657F8">
              <w:rPr>
                <w:b/>
              </w:rPr>
              <w:t xml:space="preserve"> und Testung der geplanten Messmethode</w:t>
            </w:r>
            <w:r w:rsidR="00510A08" w:rsidRPr="00510A08">
              <w:rPr>
                <w:b/>
              </w:rPr>
              <w:t xml:space="preserve"> </w:t>
            </w:r>
          </w:p>
        </w:tc>
        <w:tc>
          <w:tcPr>
            <w:tcW w:w="0" w:type="auto"/>
          </w:tcPr>
          <w:p w:rsidR="00510A08" w:rsidRDefault="00510A08" w:rsidP="00AA56CB">
            <w:pPr>
              <w:jc w:val="both"/>
            </w:pPr>
            <w:r>
              <w:t>Arbeitsgruppen</w:t>
            </w:r>
          </w:p>
          <w:p w:rsidR="00510A08" w:rsidRDefault="00510A08" w:rsidP="00AA56CB">
            <w:pPr>
              <w:jc w:val="both"/>
            </w:pPr>
            <w:r>
              <w:t>Gemeinsame Reflex</w:t>
            </w:r>
            <w:r>
              <w:t>i</w:t>
            </w:r>
            <w:r>
              <w:t>on der Realisierbarkeit und des methodischen Ablaufes</w:t>
            </w:r>
          </w:p>
          <w:p w:rsidR="00510A08" w:rsidRDefault="00510A08" w:rsidP="00AA56CB">
            <w:pPr>
              <w:jc w:val="both"/>
            </w:pPr>
            <w:r w:rsidRPr="00F06CD7">
              <w:t xml:space="preserve">Lehrkraft </w:t>
            </w:r>
            <w:r w:rsidR="00C011D1">
              <w:t>moderiert die Vorüberlegungen</w:t>
            </w:r>
            <w:r w:rsidRPr="00F06CD7">
              <w:t xml:space="preserve"> der </w:t>
            </w:r>
            <w:r w:rsidR="00DB1CEC">
              <w:t>Arbeitsgruppen</w:t>
            </w:r>
          </w:p>
        </w:tc>
        <w:tc>
          <w:tcPr>
            <w:tcW w:w="0" w:type="auto"/>
          </w:tcPr>
          <w:p w:rsidR="00DB1CEC" w:rsidRDefault="009657F8" w:rsidP="00AA56CB">
            <w:pPr>
              <w:jc w:val="both"/>
            </w:pPr>
            <w:r>
              <w:t>Gruppe A testet die Messvorschrift von Gruppe B.</w:t>
            </w:r>
          </w:p>
          <w:p w:rsidR="00DB1CEC" w:rsidRDefault="00DB1CEC" w:rsidP="001C1DE0">
            <w:pPr>
              <w:jc w:val="both"/>
            </w:pPr>
            <w:r>
              <w:t>Kritische Betrachtung der Vorschläge um eine Standardisierung der Versuchsreihe zu ermöglichen</w:t>
            </w:r>
            <w:r w:rsidR="009657F8">
              <w:t>;</w:t>
            </w:r>
            <w:r w:rsidR="003F3DCE">
              <w:t xml:space="preserve"> Lehrer muss </w:t>
            </w:r>
            <w:r w:rsidR="009657F8">
              <w:t>unter U</w:t>
            </w:r>
            <w:r w:rsidR="009657F8">
              <w:t>m</w:t>
            </w:r>
            <w:r w:rsidR="009657F8">
              <w:t>ständen</w:t>
            </w:r>
            <w:r w:rsidR="003F3DCE">
              <w:t xml:space="preserve"> folgende </w:t>
            </w:r>
            <w:r w:rsidR="001C1DE0">
              <w:t>Punkte</w:t>
            </w:r>
            <w:r w:rsidR="003F3DCE">
              <w:t xml:space="preserve"> thematisieren: Welche Kriterien muss eine Messvo</w:t>
            </w:r>
            <w:r w:rsidR="003F3DCE">
              <w:t>r</w:t>
            </w:r>
            <w:r w:rsidR="003F3DCE">
              <w:t>schrift erfüllen (Eindeutigkeit, Wiede</w:t>
            </w:r>
            <w:r w:rsidR="003F3DCE">
              <w:t>r</w:t>
            </w:r>
            <w:r w:rsidR="003F3DCE">
              <w:t>holbarkeit, Anzahl Versu</w:t>
            </w:r>
            <w:r w:rsidR="00907E6B">
              <w:t>che, Mittelwer</w:t>
            </w:r>
            <w:r w:rsidR="00907E6B">
              <w:t>t</w:t>
            </w:r>
            <w:r w:rsidR="003F3DCE">
              <w:t>bere</w:t>
            </w:r>
            <w:r w:rsidR="009657F8">
              <w:t>chnung, etc</w:t>
            </w:r>
            <w:proofErr w:type="gramStart"/>
            <w:r w:rsidR="003F3DCE">
              <w:t>. )</w:t>
            </w:r>
            <w:proofErr w:type="gramEnd"/>
            <w:r w:rsidR="001C1DE0">
              <w:t>?</w:t>
            </w:r>
          </w:p>
        </w:tc>
      </w:tr>
      <w:tr w:rsidR="003F3DCE" w:rsidRPr="00782E7C">
        <w:tc>
          <w:tcPr>
            <w:tcW w:w="0" w:type="auto"/>
          </w:tcPr>
          <w:p w:rsidR="006208E5" w:rsidRPr="00782E7C" w:rsidRDefault="003F3DCE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Durchführung: Ermittlung der individuellen Reaktionszeit</w:t>
            </w:r>
          </w:p>
        </w:tc>
        <w:tc>
          <w:tcPr>
            <w:tcW w:w="0" w:type="auto"/>
          </w:tcPr>
          <w:p w:rsidR="006208E5" w:rsidRPr="00782E7C" w:rsidRDefault="003F3DCE" w:rsidP="00AA56CB">
            <w:pPr>
              <w:spacing w:after="0" w:line="240" w:lineRule="auto"/>
              <w:jc w:val="both"/>
            </w:pPr>
            <w:r>
              <w:t>Arbeitsgruppen</w:t>
            </w:r>
          </w:p>
        </w:tc>
        <w:tc>
          <w:tcPr>
            <w:tcW w:w="0" w:type="auto"/>
          </w:tcPr>
          <w:p w:rsidR="00ED3FFC" w:rsidRDefault="003F3DCE" w:rsidP="00AA56CB">
            <w:pPr>
              <w:spacing w:after="0" w:line="240" w:lineRule="auto"/>
              <w:jc w:val="both"/>
            </w:pPr>
            <w:r>
              <w:t>Für jedes Gruppenmitglied wird über eine Messreihe die durchschnittliche Reaktionszeit ermittelt</w:t>
            </w:r>
            <w:r w:rsidR="009657F8">
              <w:t>.</w:t>
            </w:r>
          </w:p>
        </w:tc>
      </w:tr>
      <w:tr w:rsidR="003F3DCE" w:rsidRPr="00782E7C">
        <w:tc>
          <w:tcPr>
            <w:tcW w:w="0" w:type="auto"/>
          </w:tcPr>
          <w:p w:rsidR="003F3DCE" w:rsidDel="003F3DCE" w:rsidRDefault="003F3DCE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Reflexion der Ergebnisse</w:t>
            </w:r>
          </w:p>
        </w:tc>
        <w:tc>
          <w:tcPr>
            <w:tcW w:w="0" w:type="auto"/>
          </w:tcPr>
          <w:p w:rsidR="003F3DCE" w:rsidDel="003F3DCE" w:rsidRDefault="009657F8" w:rsidP="00AA56CB">
            <w:pPr>
              <w:spacing w:after="0" w:line="240" w:lineRule="auto"/>
              <w:jc w:val="both"/>
            </w:pPr>
            <w:r>
              <w:t xml:space="preserve">Arbeitsgruppen und </w:t>
            </w:r>
            <w:r w:rsidR="003F3DCE">
              <w:t>Plenum</w:t>
            </w:r>
          </w:p>
        </w:tc>
        <w:tc>
          <w:tcPr>
            <w:tcW w:w="0" w:type="auto"/>
          </w:tcPr>
          <w:p w:rsidR="003F3DCE" w:rsidDel="003F3DCE" w:rsidRDefault="003F3DCE" w:rsidP="00AA56CB">
            <w:pPr>
              <w:spacing w:after="0" w:line="240" w:lineRule="auto"/>
              <w:jc w:val="both"/>
            </w:pPr>
            <w:r>
              <w:t>Vergleich der Ergebnisse, Diskussion der Ergebnisse</w:t>
            </w:r>
            <w:r w:rsidR="009657F8">
              <w:t>.</w:t>
            </w:r>
          </w:p>
        </w:tc>
      </w:tr>
      <w:tr w:rsidR="003F3DCE" w:rsidRPr="00782E7C">
        <w:tc>
          <w:tcPr>
            <w:tcW w:w="0" w:type="auto"/>
          </w:tcPr>
          <w:p w:rsidR="003F3DCE" w:rsidRDefault="003F3DCE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Fragestellung</w:t>
            </w:r>
          </w:p>
        </w:tc>
        <w:tc>
          <w:tcPr>
            <w:tcW w:w="0" w:type="auto"/>
          </w:tcPr>
          <w:p w:rsidR="003F3DCE" w:rsidRDefault="005C61FC" w:rsidP="00AA56CB">
            <w:pPr>
              <w:spacing w:after="0" w:line="240" w:lineRule="auto"/>
              <w:jc w:val="both"/>
            </w:pPr>
            <w:r>
              <w:t>Plenum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 xml:space="preserve">Welche äußeren Faktoren können die </w:t>
            </w:r>
            <w:r w:rsidR="009657F8">
              <w:t xml:space="preserve">individuelle </w:t>
            </w:r>
            <w:r>
              <w:t>Reaktionszeit beeinflussen?</w:t>
            </w:r>
          </w:p>
        </w:tc>
      </w:tr>
      <w:tr w:rsidR="005C61FC" w:rsidRPr="00782E7C"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Vorüberlegungen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>Arbeitsgruppe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>Diskussion verschiedener Faktoren.</w:t>
            </w:r>
          </w:p>
          <w:p w:rsidR="005C61FC" w:rsidRDefault="005C61FC" w:rsidP="00AA56CB">
            <w:pPr>
              <w:spacing w:after="0" w:line="240" w:lineRule="auto"/>
              <w:jc w:val="both"/>
            </w:pPr>
            <w:r>
              <w:t>Einigung auf die Testung eines Faktors</w:t>
            </w:r>
            <w:r w:rsidR="009657F8">
              <w:t>.</w:t>
            </w:r>
          </w:p>
        </w:tc>
      </w:tr>
      <w:tr w:rsidR="005C61FC" w:rsidRPr="00782E7C"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Planung, Durchführung, Dok</w:t>
            </w:r>
            <w:r>
              <w:rPr>
                <w:b/>
              </w:rPr>
              <w:t>u</w:t>
            </w:r>
            <w:r>
              <w:rPr>
                <w:b/>
              </w:rPr>
              <w:t>mentation und Diskussion e</w:t>
            </w:r>
            <w:r>
              <w:rPr>
                <w:b/>
              </w:rPr>
              <w:t>i</w:t>
            </w:r>
            <w:r w:rsidR="00907E6B">
              <w:rPr>
                <w:b/>
              </w:rPr>
              <w:t>nes Experiment</w:t>
            </w:r>
            <w:r>
              <w:rPr>
                <w:b/>
              </w:rPr>
              <w:t>s zur Reaktion</w:t>
            </w:r>
            <w:r>
              <w:rPr>
                <w:b/>
              </w:rPr>
              <w:t>s</w:t>
            </w:r>
            <w:r>
              <w:rPr>
                <w:b/>
              </w:rPr>
              <w:t>zeit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>Arbeitsgruppe</w:t>
            </w:r>
          </w:p>
        </w:tc>
        <w:tc>
          <w:tcPr>
            <w:tcW w:w="0" w:type="auto"/>
          </w:tcPr>
          <w:p w:rsidR="005C61FC" w:rsidRDefault="005C61FC" w:rsidP="00907E6B">
            <w:pPr>
              <w:spacing w:after="0" w:line="240" w:lineRule="auto"/>
              <w:jc w:val="both"/>
            </w:pPr>
            <w:r>
              <w:t xml:space="preserve">Formulierung der Hypothese, Planung des Experiments; Bestimmung der durchschnittlichen Reaktionszeit der einzelnen Gruppenmitglieder unter den </w:t>
            </w:r>
            <w:r w:rsidR="00907E6B">
              <w:t>veränderten</w:t>
            </w:r>
            <w:r>
              <w:t xml:space="preserve"> </w:t>
            </w:r>
            <w:r w:rsidR="009657F8">
              <w:t>Bedingungen.</w:t>
            </w:r>
          </w:p>
        </w:tc>
      </w:tr>
      <w:tr w:rsidR="005C61FC" w:rsidRPr="00782E7C"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Präsentation der Ergebnisse</w:t>
            </w:r>
          </w:p>
          <w:p w:rsidR="005C61FC" w:rsidRDefault="005C61FC" w:rsidP="00AA56CB"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Diskussion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>Plenum</w:t>
            </w:r>
          </w:p>
        </w:tc>
        <w:tc>
          <w:tcPr>
            <w:tcW w:w="0" w:type="auto"/>
          </w:tcPr>
          <w:p w:rsidR="005C61FC" w:rsidRDefault="005C61FC" w:rsidP="00AA56CB">
            <w:pPr>
              <w:spacing w:after="0" w:line="240" w:lineRule="auto"/>
              <w:jc w:val="both"/>
            </w:pPr>
            <w:r>
              <w:t>Die Ergebnisse werden präs</w:t>
            </w:r>
            <w:r w:rsidR="009657F8">
              <w:t>entiert und kritisch diskutiert.</w:t>
            </w:r>
          </w:p>
        </w:tc>
      </w:tr>
    </w:tbl>
    <w:p w:rsidR="00CF0967" w:rsidRDefault="00CF0967" w:rsidP="00AA56CB">
      <w:pPr>
        <w:jc w:val="both"/>
      </w:pPr>
    </w:p>
    <w:sectPr w:rsidR="00CF0967" w:rsidSect="00CF096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6B" w:rsidRDefault="002C2E6B" w:rsidP="00A52AE2">
      <w:pPr>
        <w:spacing w:after="0" w:line="240" w:lineRule="auto"/>
      </w:pPr>
      <w:r>
        <w:separator/>
      </w:r>
    </w:p>
  </w:endnote>
  <w:endnote w:type="continuationSeparator" w:id="0">
    <w:p w:rsidR="002C2E6B" w:rsidRDefault="002C2E6B" w:rsidP="00A52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93454"/>
      <w:docPartObj>
        <w:docPartGallery w:val="Page Numbers (Bottom of Page)"/>
        <w:docPartUnique/>
      </w:docPartObj>
    </w:sdtPr>
    <w:sdtContent>
      <w:p w:rsidR="003245E3" w:rsidRDefault="008F3E99">
        <w:pPr>
          <w:pStyle w:val="Fuzeile"/>
          <w:jc w:val="right"/>
        </w:pPr>
        <w:fldSimple w:instr=" PAGE   \* MERGEFORMAT ">
          <w:r w:rsidR="00215D37">
            <w:rPr>
              <w:noProof/>
            </w:rPr>
            <w:t>1</w:t>
          </w:r>
        </w:fldSimple>
      </w:p>
    </w:sdtContent>
  </w:sdt>
  <w:p w:rsidR="003245E3" w:rsidRDefault="003245E3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6B" w:rsidRDefault="002C2E6B" w:rsidP="00A52AE2">
      <w:pPr>
        <w:spacing w:after="0" w:line="240" w:lineRule="auto"/>
      </w:pPr>
      <w:r>
        <w:separator/>
      </w:r>
    </w:p>
  </w:footnote>
  <w:footnote w:type="continuationSeparator" w:id="0">
    <w:p w:rsidR="002C2E6B" w:rsidRDefault="002C2E6B" w:rsidP="00A52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3AF2" w:rsidRPr="00A0764B" w:rsidRDefault="00D23AF2" w:rsidP="00D23AF2">
    <w:pPr>
      <w:pStyle w:val="KeinLeerraum"/>
    </w:pPr>
    <w:r w:rsidRPr="00A0764B">
      <w:t>Standardbasierter, kompetenzorientierter Unterricht</w:t>
    </w:r>
    <w:r w:rsidRPr="00A0764B">
      <w:tab/>
    </w:r>
    <w:r>
      <w:t>Sek. I</w:t>
    </w:r>
    <w:r>
      <w:tab/>
    </w:r>
    <w:r>
      <w:tab/>
    </w:r>
    <w:r>
      <w:tab/>
    </w:r>
    <w:r w:rsidRPr="00A0764B">
      <w:t>ZPG Biologie © 2010</w:t>
    </w:r>
  </w:p>
  <w:p w:rsidR="00D23AF2" w:rsidRPr="00A0764B" w:rsidRDefault="00D23AF2" w:rsidP="00D23AF2">
    <w:pPr>
      <w:pStyle w:val="KeinLeerraum"/>
      <w:rPr>
        <w:color w:val="231F20"/>
      </w:rPr>
    </w:pPr>
    <w:r w:rsidRPr="00A0764B">
      <w:rPr>
        <w:color w:val="231F20"/>
      </w:rPr>
      <w:t xml:space="preserve">Bildungsplan 2004 Baden-Württemberg </w:t>
    </w:r>
  </w:p>
  <w:p w:rsidR="00A52AE2" w:rsidRPr="00D23AF2" w:rsidRDefault="00B529A8" w:rsidP="00D23AF2">
    <w:pPr>
      <w:jc w:val="right"/>
    </w:pPr>
    <w:r>
      <w:t>Pe</w:t>
    </w:r>
    <w:r w:rsidR="00D23AF2">
      <w:t>ter Mayer, Dr. Matthias Hoffmann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0BAB"/>
    <w:multiLevelType w:val="hybridMultilevel"/>
    <w:tmpl w:val="7CF40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600A59"/>
    <w:multiLevelType w:val="hybridMultilevel"/>
    <w:tmpl w:val="2D6613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2AE2"/>
    <w:rsid w:val="000236F6"/>
    <w:rsid w:val="00025F25"/>
    <w:rsid w:val="000D639D"/>
    <w:rsid w:val="0014590C"/>
    <w:rsid w:val="001A4833"/>
    <w:rsid w:val="001A4842"/>
    <w:rsid w:val="001C1DE0"/>
    <w:rsid w:val="00215D37"/>
    <w:rsid w:val="002C2E6B"/>
    <w:rsid w:val="003245E3"/>
    <w:rsid w:val="003C0B2F"/>
    <w:rsid w:val="003D7520"/>
    <w:rsid w:val="003E7FDE"/>
    <w:rsid w:val="003F3426"/>
    <w:rsid w:val="003F3DCE"/>
    <w:rsid w:val="00410982"/>
    <w:rsid w:val="004861E7"/>
    <w:rsid w:val="004D6D7D"/>
    <w:rsid w:val="004F5ED3"/>
    <w:rsid w:val="004F7475"/>
    <w:rsid w:val="00510A08"/>
    <w:rsid w:val="00567253"/>
    <w:rsid w:val="005743E2"/>
    <w:rsid w:val="005C61FC"/>
    <w:rsid w:val="006208E5"/>
    <w:rsid w:val="0062277A"/>
    <w:rsid w:val="00661CBD"/>
    <w:rsid w:val="006C710C"/>
    <w:rsid w:val="007114A4"/>
    <w:rsid w:val="00712759"/>
    <w:rsid w:val="007213B4"/>
    <w:rsid w:val="00782E7C"/>
    <w:rsid w:val="007945C8"/>
    <w:rsid w:val="007A5A77"/>
    <w:rsid w:val="007B5087"/>
    <w:rsid w:val="007B6843"/>
    <w:rsid w:val="007D3147"/>
    <w:rsid w:val="008552C1"/>
    <w:rsid w:val="008950B7"/>
    <w:rsid w:val="008F3E99"/>
    <w:rsid w:val="00903D60"/>
    <w:rsid w:val="00904BAC"/>
    <w:rsid w:val="00907E6B"/>
    <w:rsid w:val="00930CDD"/>
    <w:rsid w:val="009573D7"/>
    <w:rsid w:val="009657F8"/>
    <w:rsid w:val="009F1169"/>
    <w:rsid w:val="00A35770"/>
    <w:rsid w:val="00A52AE2"/>
    <w:rsid w:val="00AA56CB"/>
    <w:rsid w:val="00AD7FAA"/>
    <w:rsid w:val="00B529A8"/>
    <w:rsid w:val="00B62BD3"/>
    <w:rsid w:val="00B658DF"/>
    <w:rsid w:val="00BC54C1"/>
    <w:rsid w:val="00BF198E"/>
    <w:rsid w:val="00BF7283"/>
    <w:rsid w:val="00C011D1"/>
    <w:rsid w:val="00C209D2"/>
    <w:rsid w:val="00CA431F"/>
    <w:rsid w:val="00CF0967"/>
    <w:rsid w:val="00D23AF2"/>
    <w:rsid w:val="00D25E84"/>
    <w:rsid w:val="00D85612"/>
    <w:rsid w:val="00DB1CEC"/>
    <w:rsid w:val="00DD159C"/>
    <w:rsid w:val="00DD7B79"/>
    <w:rsid w:val="00E2797F"/>
    <w:rsid w:val="00EA0895"/>
    <w:rsid w:val="00EC3119"/>
    <w:rsid w:val="00ED3FFC"/>
    <w:rsid w:val="00F1134E"/>
    <w:rsid w:val="00F32754"/>
    <w:rsid w:val="00F9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52AE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52AE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A52AE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A5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52AE2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A52A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2AE2"/>
    <w:rPr>
      <w:rFonts w:ascii="Calibri" w:eastAsia="Calibri" w:hAnsi="Calibri" w:cs="Times New Roma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2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2A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KeinLeerraum">
    <w:name w:val="No Spacing"/>
    <w:uiPriority w:val="1"/>
    <w:qFormat/>
    <w:rsid w:val="00A52AE2"/>
    <w:rPr>
      <w:sz w:val="22"/>
      <w:szCs w:val="22"/>
      <w:lang w:eastAsia="en-US"/>
    </w:rPr>
  </w:style>
  <w:style w:type="table" w:styleId="Tabellengitternetz">
    <w:name w:val="Table Grid"/>
    <w:basedOn w:val="NormaleTabelle"/>
    <w:uiPriority w:val="59"/>
    <w:rsid w:val="00782E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5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8561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4F5DF-BBCB-4F63-8D96-B0035CDAE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Das Unterrichtsbeispiel Messen der Reaktionszeit wird im Rahmen der Sinnes- und Nervenphysiologie eingesetzt</vt:lpstr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Hoffmann</cp:lastModifiedBy>
  <cp:revision>2</cp:revision>
  <dcterms:created xsi:type="dcterms:W3CDTF">2010-11-28T14:18:00Z</dcterms:created>
  <dcterms:modified xsi:type="dcterms:W3CDTF">2010-11-28T14:18:00Z</dcterms:modified>
</cp:coreProperties>
</file>