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BA4A9C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2456971E" w:rsidR="007C5490" w:rsidRPr="00BA4A9C" w:rsidRDefault="006D2600" w:rsidP="00CF0D45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BA4A9C">
              <w:rPr>
                <w:rFonts w:ascii="Arial" w:hAnsi="Arial" w:cs="Arial"/>
                <w:b/>
                <w:sz w:val="28"/>
              </w:rPr>
              <w:t>2</w:t>
            </w:r>
            <w:r w:rsidR="00CF0D45" w:rsidRPr="00BA4A9C">
              <w:rPr>
                <w:rFonts w:ascii="Arial" w:hAnsi="Arial" w:cs="Arial"/>
                <w:b/>
                <w:sz w:val="28"/>
              </w:rPr>
              <w:t>22</w:t>
            </w:r>
            <w:r w:rsidR="007C5490" w:rsidRPr="00BA4A9C">
              <w:rPr>
                <w:rFonts w:ascii="Arial" w:hAnsi="Arial" w:cs="Arial"/>
                <w:b/>
                <w:sz w:val="28"/>
              </w:rPr>
              <w:t xml:space="preserve"> </w:t>
            </w:r>
            <w:r w:rsidR="005C68EA" w:rsidRPr="00BA4A9C">
              <w:rPr>
                <w:rFonts w:ascii="Arial" w:hAnsi="Arial" w:cs="Arial"/>
                <w:b/>
                <w:sz w:val="28"/>
              </w:rPr>
              <w:t>Anziehende</w:t>
            </w:r>
            <w:r w:rsidR="002B1D6C" w:rsidRPr="00BA4A9C">
              <w:rPr>
                <w:rFonts w:ascii="Arial" w:hAnsi="Arial" w:cs="Arial"/>
                <w:b/>
                <w:sz w:val="28"/>
              </w:rPr>
              <w:t xml:space="preserve"> Magnete</w:t>
            </w:r>
          </w:p>
        </w:tc>
      </w:tr>
      <w:tr w:rsidR="00997560" w:rsidRPr="00BA4A9C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BA4A9C" w:rsidRDefault="00997560" w:rsidP="00CB76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A4A9C">
              <w:rPr>
                <w:rFonts w:ascii="Arial" w:hAnsi="Arial" w:cs="Arial"/>
                <w:b/>
              </w:rPr>
              <w:t>Zentrale Frage:</w:t>
            </w:r>
          </w:p>
        </w:tc>
      </w:tr>
      <w:tr w:rsidR="00997560" w:rsidRPr="00BA4A9C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26D4B8DF" w:rsidR="00997560" w:rsidRPr="00BA4A9C" w:rsidRDefault="00997560" w:rsidP="009C5F7A">
            <w:pPr>
              <w:pStyle w:val="Listenabsatz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4A9C">
              <w:rPr>
                <w:rFonts w:ascii="Arial" w:hAnsi="Arial" w:cs="Arial"/>
                <w:szCs w:val="28"/>
              </w:rPr>
              <w:t>„</w:t>
            </w:r>
            <w:r w:rsidR="002B1D6C" w:rsidRPr="00BA4A9C">
              <w:rPr>
                <w:rFonts w:ascii="Arial" w:hAnsi="Arial" w:cs="Arial"/>
                <w:szCs w:val="28"/>
              </w:rPr>
              <w:t>Wie weit kann ein Magnet wirken?</w:t>
            </w:r>
            <w:r w:rsidRPr="00BA4A9C">
              <w:rPr>
                <w:rFonts w:ascii="Arial" w:hAnsi="Arial" w:cs="Arial"/>
                <w:szCs w:val="28"/>
              </w:rPr>
              <w:t>“</w:t>
            </w:r>
          </w:p>
        </w:tc>
      </w:tr>
      <w:tr w:rsidR="007C5490" w:rsidRPr="00BA4A9C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BA4A9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A4A9C">
              <w:rPr>
                <w:rFonts w:ascii="Arial" w:hAnsi="Arial" w:cs="Arial"/>
                <w:b/>
                <w:sz w:val="20"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BA4A9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A4A9C">
              <w:rPr>
                <w:rFonts w:ascii="Arial" w:hAnsi="Arial" w:cs="Arial"/>
                <w:b/>
                <w:sz w:val="20"/>
              </w:rPr>
              <w:t>Ziele:</w:t>
            </w:r>
          </w:p>
        </w:tc>
      </w:tr>
      <w:tr w:rsidR="007C5490" w:rsidRPr="00BA4A9C" w14:paraId="7B12FF7A" w14:textId="77777777" w:rsidTr="00AD528F">
        <w:trPr>
          <w:trHeight w:val="166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308B68A1" w14:textId="2D63C39E" w:rsidR="00B66C52" w:rsidRPr="00BA4A9C" w:rsidRDefault="00BF0D1B" w:rsidP="00B66C52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hyperlink r:id="rId9" w:history="1">
              <w:r w:rsidR="005D7D1F" w:rsidRPr="00BA4A9C">
                <w:rPr>
                  <w:rStyle w:val="Hyperlink"/>
                  <w:rFonts w:ascii="Arial" w:hAnsi="Arial" w:cs="Arial"/>
                  <w:sz w:val="20"/>
                </w:rPr>
                <w:t>2223_AB_Anziehende+Magnete.docx</w:t>
              </w:r>
            </w:hyperlink>
          </w:p>
          <w:p w14:paraId="16503E23" w14:textId="7DB04767" w:rsidR="0087411D" w:rsidRDefault="00353714" w:rsidP="003363A3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87411D">
              <w:rPr>
                <w:rFonts w:ascii="Arial" w:hAnsi="Arial" w:cs="Arial"/>
                <w:sz w:val="20"/>
              </w:rPr>
              <w:t xml:space="preserve">unterschiedlich starke </w:t>
            </w:r>
            <w:r w:rsidR="00002D75" w:rsidRPr="0087411D">
              <w:rPr>
                <w:rFonts w:ascii="Arial" w:hAnsi="Arial" w:cs="Arial"/>
                <w:sz w:val="20"/>
              </w:rPr>
              <w:t>Stabma</w:t>
            </w:r>
            <w:r w:rsidR="003363A3" w:rsidRPr="0087411D">
              <w:rPr>
                <w:rFonts w:ascii="Arial" w:hAnsi="Arial" w:cs="Arial"/>
                <w:sz w:val="20"/>
              </w:rPr>
              <w:t>gnet</w:t>
            </w:r>
            <w:r w:rsidRPr="0087411D">
              <w:rPr>
                <w:rFonts w:ascii="Arial" w:hAnsi="Arial" w:cs="Arial"/>
                <w:sz w:val="20"/>
              </w:rPr>
              <w:t>e</w:t>
            </w:r>
            <w:r w:rsidR="0087411D" w:rsidRPr="0087411D">
              <w:rPr>
                <w:rFonts w:ascii="Arial" w:hAnsi="Arial" w:cs="Arial"/>
                <w:sz w:val="20"/>
              </w:rPr>
              <w:t xml:space="preserve">, </w:t>
            </w:r>
            <w:r w:rsidRPr="0087411D">
              <w:rPr>
                <w:rFonts w:ascii="Arial" w:hAnsi="Arial" w:cs="Arial"/>
                <w:sz w:val="20"/>
              </w:rPr>
              <w:t>Büro</w:t>
            </w:r>
            <w:r w:rsidR="0087411D">
              <w:rPr>
                <w:rFonts w:ascii="Arial" w:hAnsi="Arial" w:cs="Arial"/>
                <w:sz w:val="20"/>
              </w:rPr>
              <w:t>kla</w:t>
            </w:r>
            <w:r w:rsidR="0087411D">
              <w:rPr>
                <w:rFonts w:ascii="Arial" w:hAnsi="Arial" w:cs="Arial"/>
                <w:sz w:val="20"/>
              </w:rPr>
              <w:t>m</w:t>
            </w:r>
            <w:r w:rsidR="0087411D">
              <w:rPr>
                <w:rFonts w:ascii="Arial" w:hAnsi="Arial" w:cs="Arial"/>
                <w:sz w:val="20"/>
              </w:rPr>
              <w:t>mer (Eisen) (</w:t>
            </w:r>
            <w:hyperlink r:id="rId10" w:history="1">
              <w:r w:rsidR="0087411D" w:rsidRPr="0087411D">
                <w:rPr>
                  <w:rStyle w:val="Hyperlink"/>
                  <w:rFonts w:ascii="Arial" w:hAnsi="Arial" w:cs="Arial"/>
                  <w:sz w:val="20"/>
                </w:rPr>
                <w:t>2203_Magnet&amp;Strom-Box.docx</w:t>
              </w:r>
            </w:hyperlink>
            <w:r w:rsidR="00E118A1">
              <w:rPr>
                <w:rFonts w:ascii="Arial" w:hAnsi="Arial" w:cs="Arial"/>
                <w:sz w:val="20"/>
              </w:rPr>
              <w:t>)</w:t>
            </w:r>
          </w:p>
          <w:p w14:paraId="1F1D5980" w14:textId="1F6C9112" w:rsidR="00353714" w:rsidRPr="0087411D" w:rsidRDefault="00353714" w:rsidP="003363A3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87411D">
              <w:rPr>
                <w:rFonts w:ascii="Arial" w:hAnsi="Arial" w:cs="Arial"/>
                <w:sz w:val="20"/>
              </w:rPr>
              <w:t>Faden</w:t>
            </w:r>
            <w:r w:rsidR="008F421B" w:rsidRPr="0087411D">
              <w:rPr>
                <w:rFonts w:ascii="Arial" w:hAnsi="Arial" w:cs="Arial"/>
                <w:sz w:val="20"/>
              </w:rPr>
              <w:t>, Klebefilm</w:t>
            </w:r>
          </w:p>
          <w:p w14:paraId="378EED85" w14:textId="64185217" w:rsidR="008F421B" w:rsidRPr="00BA4A9C" w:rsidRDefault="008F421B" w:rsidP="003363A3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 xml:space="preserve">weiteres Material entsprechend der Planung der </w:t>
            </w:r>
            <w:proofErr w:type="spellStart"/>
            <w:r w:rsidRPr="00BA4A9C">
              <w:rPr>
                <w:rFonts w:ascii="Arial" w:hAnsi="Arial" w:cs="Arial"/>
                <w:sz w:val="20"/>
              </w:rPr>
              <w:t>SuS</w:t>
            </w:r>
            <w:proofErr w:type="spellEnd"/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14121CCB" w14:textId="6A045F26" w:rsidR="008F421B" w:rsidRPr="00BA4A9C" w:rsidRDefault="008F421B" w:rsidP="00051D70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Ein</w:t>
            </w:r>
            <w:r w:rsidR="00353714" w:rsidRPr="00BA4A9C">
              <w:rPr>
                <w:rFonts w:ascii="Arial" w:hAnsi="Arial" w:cs="Arial"/>
                <w:sz w:val="20"/>
              </w:rPr>
              <w:t xml:space="preserve"> Magnet</w:t>
            </w:r>
            <w:r w:rsidR="00431F63" w:rsidRPr="00BA4A9C">
              <w:rPr>
                <w:rFonts w:ascii="Arial" w:hAnsi="Arial" w:cs="Arial"/>
                <w:sz w:val="20"/>
              </w:rPr>
              <w:t xml:space="preserve"> w</w:t>
            </w:r>
            <w:r w:rsidR="000F1A35" w:rsidRPr="00BA4A9C">
              <w:rPr>
                <w:rFonts w:ascii="Arial" w:hAnsi="Arial" w:cs="Arial"/>
                <w:sz w:val="20"/>
              </w:rPr>
              <w:t>irkt auch in einiger Entfernung, abhängig von seiner Stärke.</w:t>
            </w:r>
          </w:p>
          <w:p w14:paraId="23B53DDD" w14:textId="02BBE0BA" w:rsidR="00431F63" w:rsidRPr="00BA4A9C" w:rsidRDefault="008F421B" w:rsidP="00051D70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Er wirkt auch</w:t>
            </w:r>
            <w:r w:rsidR="00431F63" w:rsidRPr="00BA4A9C">
              <w:rPr>
                <w:rFonts w:ascii="Arial" w:hAnsi="Arial" w:cs="Arial"/>
                <w:sz w:val="20"/>
              </w:rPr>
              <w:t xml:space="preserve"> durch Materialien hindurch</w:t>
            </w:r>
            <w:r w:rsidR="00353714" w:rsidRPr="00BA4A9C">
              <w:rPr>
                <w:rFonts w:ascii="Arial" w:hAnsi="Arial" w:cs="Arial"/>
                <w:sz w:val="20"/>
              </w:rPr>
              <w:t xml:space="preserve"> anzi</w:t>
            </w:r>
            <w:r w:rsidR="00353714" w:rsidRPr="00BA4A9C">
              <w:rPr>
                <w:rFonts w:ascii="Arial" w:hAnsi="Arial" w:cs="Arial"/>
                <w:sz w:val="20"/>
              </w:rPr>
              <w:t>e</w:t>
            </w:r>
            <w:r w:rsidR="00353714" w:rsidRPr="00BA4A9C">
              <w:rPr>
                <w:rFonts w:ascii="Arial" w:hAnsi="Arial" w:cs="Arial"/>
                <w:sz w:val="20"/>
              </w:rPr>
              <w:t>hend</w:t>
            </w:r>
            <w:r w:rsidR="00431F63" w:rsidRPr="00BA4A9C">
              <w:rPr>
                <w:rFonts w:ascii="Arial" w:hAnsi="Arial" w:cs="Arial"/>
                <w:sz w:val="20"/>
              </w:rPr>
              <w:t>.</w:t>
            </w:r>
          </w:p>
        </w:tc>
      </w:tr>
      <w:tr w:rsidR="007C5490" w:rsidRPr="00BA4A9C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77777777" w:rsidR="007C5490" w:rsidRPr="00BA4A9C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A4A9C">
              <w:rPr>
                <w:rFonts w:ascii="Arial" w:hAnsi="Arial" w:cs="Arial"/>
                <w:b/>
                <w:sz w:val="20"/>
              </w:rPr>
              <w:t>Hinweise:</w:t>
            </w:r>
          </w:p>
        </w:tc>
      </w:tr>
      <w:tr w:rsidR="007C5490" w:rsidRPr="00BA4A9C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38D7F88E" w:rsidR="00431F63" w:rsidRPr="0087411D" w:rsidRDefault="00431F63" w:rsidP="00431F63">
            <w:pPr>
              <w:rPr>
                <w:rFonts w:ascii="Arial" w:hAnsi="Arial" w:cs="Arial"/>
                <w:b/>
                <w:sz w:val="20"/>
              </w:rPr>
            </w:pPr>
            <w:r w:rsidRPr="0087411D">
              <w:rPr>
                <w:rFonts w:ascii="Arial" w:hAnsi="Arial" w:cs="Arial"/>
                <w:b/>
                <w:sz w:val="20"/>
              </w:rPr>
              <w:t>Fachlicher Hintergrund:</w:t>
            </w:r>
          </w:p>
          <w:p w14:paraId="787E93CF" w14:textId="21EE15F8" w:rsidR="00002D75" w:rsidRPr="00BA4A9C" w:rsidRDefault="00002D75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 xml:space="preserve">Die Anziehung ist in der Nähe der Magnetpole am stärksten, zwischen den Magnetpolen ist sie </w:t>
            </w:r>
            <w:r w:rsidR="00A56801" w:rsidRPr="00BA4A9C">
              <w:rPr>
                <w:rFonts w:ascii="Arial" w:hAnsi="Arial" w:cs="Arial"/>
                <w:sz w:val="20"/>
              </w:rPr>
              <w:t>an e</w:t>
            </w:r>
            <w:r w:rsidR="00A56801" w:rsidRPr="00BA4A9C">
              <w:rPr>
                <w:rFonts w:ascii="Arial" w:hAnsi="Arial" w:cs="Arial"/>
                <w:sz w:val="20"/>
              </w:rPr>
              <w:t>i</w:t>
            </w:r>
            <w:r w:rsidR="00A56801" w:rsidRPr="00BA4A9C">
              <w:rPr>
                <w:rFonts w:ascii="Arial" w:hAnsi="Arial" w:cs="Arial"/>
                <w:sz w:val="20"/>
              </w:rPr>
              <w:t xml:space="preserve">nem Magneten </w:t>
            </w:r>
            <w:r w:rsidRPr="00BA4A9C">
              <w:rPr>
                <w:rFonts w:ascii="Arial" w:hAnsi="Arial" w:cs="Arial"/>
                <w:sz w:val="20"/>
              </w:rPr>
              <w:t xml:space="preserve">wesentlich schwächer und teilweise kaum nachweisbar. </w:t>
            </w:r>
            <w:r w:rsidR="009E509B" w:rsidRPr="00BA4A9C">
              <w:rPr>
                <w:rFonts w:ascii="Arial" w:hAnsi="Arial" w:cs="Arial"/>
                <w:sz w:val="20"/>
              </w:rPr>
              <w:t>Für technische Anwendungen ist das wesentlich.</w:t>
            </w:r>
            <w:bookmarkStart w:id="0" w:name="_GoBack"/>
            <w:bookmarkEnd w:id="0"/>
          </w:p>
          <w:p w14:paraId="1A3D32F1" w14:textId="62DF25A4" w:rsidR="009E509B" w:rsidRPr="00BA4A9C" w:rsidRDefault="009E509B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Stabmagnete haben Magnetpole an den Enden.</w:t>
            </w:r>
          </w:p>
          <w:p w14:paraId="4E5FCE03" w14:textId="1C4722B9" w:rsidR="00FA6D2F" w:rsidRPr="00BA4A9C" w:rsidRDefault="00FA6D2F" w:rsidP="00FA6D2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 xml:space="preserve">Fahrkartenautomaten sortieren Münzen, </w:t>
            </w:r>
            <w:r w:rsidR="00C73FD8" w:rsidRPr="00BA4A9C">
              <w:rPr>
                <w:rFonts w:ascii="Arial" w:hAnsi="Arial" w:cs="Arial"/>
                <w:sz w:val="20"/>
              </w:rPr>
              <w:t>indem sie messen, wie stark das</w:t>
            </w:r>
            <w:r w:rsidRPr="00BA4A9C">
              <w:rPr>
                <w:rFonts w:ascii="Arial" w:hAnsi="Arial" w:cs="Arial"/>
                <w:sz w:val="20"/>
              </w:rPr>
              <w:t xml:space="preserve"> ferromagnetisches Material in der Münze </w:t>
            </w:r>
            <w:r w:rsidR="00C73FD8" w:rsidRPr="00BA4A9C">
              <w:rPr>
                <w:rFonts w:ascii="Arial" w:hAnsi="Arial" w:cs="Arial"/>
                <w:sz w:val="20"/>
              </w:rPr>
              <w:t>wirkt</w:t>
            </w:r>
            <w:r w:rsidRPr="00BA4A9C">
              <w:rPr>
                <w:rFonts w:ascii="Arial" w:hAnsi="Arial" w:cs="Arial"/>
                <w:sz w:val="20"/>
              </w:rPr>
              <w:t>. Das geschieht technisch nicht durch Magnete sondern durch eine „Induktivitätsme</w:t>
            </w:r>
            <w:r w:rsidRPr="00BA4A9C">
              <w:rPr>
                <w:rFonts w:ascii="Arial" w:hAnsi="Arial" w:cs="Arial"/>
                <w:sz w:val="20"/>
              </w:rPr>
              <w:t>s</w:t>
            </w:r>
            <w:r w:rsidRPr="00BA4A9C">
              <w:rPr>
                <w:rFonts w:ascii="Arial" w:hAnsi="Arial" w:cs="Arial"/>
                <w:sz w:val="20"/>
              </w:rPr>
              <w:t>sung“: Die Münzen verändern dabei das Magnetfeld in einer Spule unterschiedlich stark. Die Änderung sorgt für ein charakteristisches elektrisches Signal, das eine zuverlässige Unterscheidung erlaubt.</w:t>
            </w:r>
          </w:p>
          <w:p w14:paraId="7BCD8E30" w14:textId="01431BA5" w:rsidR="00431F63" w:rsidRPr="0087411D" w:rsidRDefault="00431F63" w:rsidP="00431F63">
            <w:pPr>
              <w:rPr>
                <w:rFonts w:ascii="Arial" w:hAnsi="Arial" w:cs="Arial"/>
                <w:b/>
                <w:sz w:val="20"/>
              </w:rPr>
            </w:pPr>
            <w:r w:rsidRPr="0087411D">
              <w:rPr>
                <w:rFonts w:ascii="Arial" w:hAnsi="Arial" w:cs="Arial"/>
                <w:b/>
                <w:sz w:val="20"/>
              </w:rPr>
              <w:t>Didaktische und methodische Hinweise:</w:t>
            </w:r>
          </w:p>
          <w:p w14:paraId="0633DF36" w14:textId="77777777" w:rsidR="002B1D6C" w:rsidRPr="00BA4A9C" w:rsidRDefault="00AD528F" w:rsidP="002B1D6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Dass ferromagnetische Materialien nicht an einem Magneten „kleben“, wenn man sie direkt damit b</w:t>
            </w:r>
            <w:r w:rsidRPr="00BA4A9C">
              <w:rPr>
                <w:rFonts w:ascii="Arial" w:hAnsi="Arial" w:cs="Arial"/>
                <w:sz w:val="20"/>
              </w:rPr>
              <w:t>e</w:t>
            </w:r>
            <w:r w:rsidRPr="00BA4A9C">
              <w:rPr>
                <w:rFonts w:ascii="Arial" w:hAnsi="Arial" w:cs="Arial"/>
                <w:sz w:val="20"/>
              </w:rPr>
              <w:t>rührt, sondern auch über eine Entfernung hinweg angezogen werden, ist für viele Schülerinnen und Schüler nicht selbstverständlich. Dies ist aber für die technische Anwendung wesentlich und bereitet zudem den Feldbegriff vor.</w:t>
            </w:r>
            <w:r w:rsidR="002B1D6C" w:rsidRPr="00BA4A9C">
              <w:rPr>
                <w:rFonts w:ascii="Arial" w:hAnsi="Arial" w:cs="Arial"/>
                <w:sz w:val="20"/>
              </w:rPr>
              <w:t xml:space="preserve"> </w:t>
            </w:r>
          </w:p>
          <w:p w14:paraId="44D4EBD7" w14:textId="68CA76BC" w:rsidR="002B1D6C" w:rsidRPr="00BA4A9C" w:rsidRDefault="002B1D6C" w:rsidP="002B1D6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Eine verbreitete Fehlvorstellung ist, dass die Gravitation „magnetische“ Ursachen hat. Dies rührt u.a. daher, dass versucht wird, ähnliche Phänomene (Anziehung über eine Entfernung hinweg) durch gle</w:t>
            </w:r>
            <w:r w:rsidRPr="00BA4A9C">
              <w:rPr>
                <w:rFonts w:ascii="Arial" w:hAnsi="Arial" w:cs="Arial"/>
                <w:sz w:val="20"/>
              </w:rPr>
              <w:t>i</w:t>
            </w:r>
            <w:r w:rsidRPr="00BA4A9C">
              <w:rPr>
                <w:rFonts w:ascii="Arial" w:hAnsi="Arial" w:cs="Arial"/>
                <w:sz w:val="20"/>
              </w:rPr>
              <w:t>che Ursachen zu erklären. Verstärkt wird diese Fehlvorstellung</w:t>
            </w:r>
            <w:r w:rsidR="00793D9F" w:rsidRPr="00BA4A9C">
              <w:rPr>
                <w:rFonts w:ascii="Arial" w:hAnsi="Arial" w:cs="Arial"/>
                <w:sz w:val="20"/>
              </w:rPr>
              <w:t xml:space="preserve">, wenn </w:t>
            </w:r>
            <w:r w:rsidRPr="00BA4A9C">
              <w:rPr>
                <w:rFonts w:ascii="Arial" w:hAnsi="Arial" w:cs="Arial"/>
                <w:sz w:val="20"/>
              </w:rPr>
              <w:t>eine Stabmagnet</w:t>
            </w:r>
            <w:r w:rsidR="00793D9F" w:rsidRPr="00BA4A9C">
              <w:rPr>
                <w:rFonts w:ascii="Arial" w:hAnsi="Arial" w:cs="Arial"/>
                <w:sz w:val="20"/>
              </w:rPr>
              <w:t>-A</w:t>
            </w:r>
            <w:r w:rsidRPr="00BA4A9C">
              <w:rPr>
                <w:rFonts w:ascii="Arial" w:hAnsi="Arial" w:cs="Arial"/>
                <w:sz w:val="20"/>
              </w:rPr>
              <w:t>nalogie zur Erklärung des Erdmagnetfeldes</w:t>
            </w:r>
            <w:r w:rsidR="00793D9F" w:rsidRPr="00BA4A9C">
              <w:rPr>
                <w:rFonts w:ascii="Arial" w:hAnsi="Arial" w:cs="Arial"/>
                <w:sz w:val="20"/>
              </w:rPr>
              <w:t xml:space="preserve"> unreflektiert eingesetzt wird</w:t>
            </w:r>
            <w:r w:rsidRPr="00BA4A9C">
              <w:rPr>
                <w:rFonts w:ascii="Arial" w:hAnsi="Arial" w:cs="Arial"/>
                <w:sz w:val="20"/>
              </w:rPr>
              <w:t>.</w:t>
            </w:r>
          </w:p>
          <w:p w14:paraId="04144E96" w14:textId="77777777" w:rsidR="0041393F" w:rsidRPr="00BA4A9C" w:rsidRDefault="002B1D6C" w:rsidP="002B1D6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An Erklärungen mit dem Elementarmagnetmodell und dem Magnetfeld ist in BNT nicht gedacht. Dies erfolgt im Physikunterricht ab Klasse 7.</w:t>
            </w:r>
          </w:p>
          <w:p w14:paraId="1A177F1A" w14:textId="19EF6FA1" w:rsidR="006E33B6" w:rsidRPr="00BA4A9C" w:rsidRDefault="006E33B6" w:rsidP="006E33B6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 xml:space="preserve">Die Schülerinnen und Schüler üben </w:t>
            </w:r>
            <w:r w:rsidR="00002D75" w:rsidRPr="00BA4A9C">
              <w:rPr>
                <w:rFonts w:ascii="Arial" w:hAnsi="Arial" w:cs="Arial"/>
                <w:sz w:val="20"/>
              </w:rPr>
              <w:t xml:space="preserve">bei Aufgabe 2 </w:t>
            </w:r>
            <w:r w:rsidR="00C61C53" w:rsidRPr="00BA4A9C">
              <w:rPr>
                <w:rFonts w:ascii="Arial" w:hAnsi="Arial" w:cs="Arial"/>
                <w:sz w:val="20"/>
              </w:rPr>
              <w:t xml:space="preserve">von </w:t>
            </w:r>
            <w:hyperlink r:id="rId11" w:history="1">
              <w:r w:rsidR="00C61C53" w:rsidRPr="00BA4A9C">
                <w:rPr>
                  <w:rStyle w:val="Hyperlink"/>
                  <w:rFonts w:ascii="Arial" w:hAnsi="Arial" w:cs="Arial"/>
                  <w:sz w:val="20"/>
                </w:rPr>
                <w:t>2223_AB_Anziehende+Magnete.docx</w:t>
              </w:r>
            </w:hyperlink>
            <w:r w:rsidR="00C61C53" w:rsidRPr="00BA4A9C">
              <w:rPr>
                <w:rFonts w:ascii="Arial" w:hAnsi="Arial" w:cs="Arial"/>
                <w:sz w:val="20"/>
              </w:rPr>
              <w:t xml:space="preserve"> </w:t>
            </w:r>
            <w:r w:rsidRPr="00BA4A9C">
              <w:rPr>
                <w:rFonts w:ascii="Arial" w:hAnsi="Arial" w:cs="Arial"/>
                <w:sz w:val="20"/>
              </w:rPr>
              <w:t>das Au</w:t>
            </w:r>
            <w:r w:rsidRPr="00BA4A9C">
              <w:rPr>
                <w:rFonts w:ascii="Arial" w:hAnsi="Arial" w:cs="Arial"/>
                <w:sz w:val="20"/>
              </w:rPr>
              <w:t>f</w:t>
            </w:r>
            <w:r w:rsidRPr="00BA4A9C">
              <w:rPr>
                <w:rFonts w:ascii="Arial" w:hAnsi="Arial" w:cs="Arial"/>
                <w:sz w:val="20"/>
              </w:rPr>
              <w:t>stellen und Überprüfen von Vermutungen in einer</w:t>
            </w:r>
            <w:r w:rsidR="001635AD" w:rsidRPr="00BA4A9C">
              <w:rPr>
                <w:rFonts w:ascii="Arial" w:hAnsi="Arial" w:cs="Arial"/>
                <w:sz w:val="20"/>
              </w:rPr>
              <w:t xml:space="preserve"> komplexeren Situation als in</w:t>
            </w:r>
            <w:r w:rsidR="005D7D1F" w:rsidRPr="00BA4A9C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5D7D1F" w:rsidRPr="00BA4A9C">
                <w:rPr>
                  <w:rStyle w:val="Hyperlink"/>
                  <w:rFonts w:ascii="Arial" w:hAnsi="Arial" w:cs="Arial"/>
                  <w:sz w:val="20"/>
                </w:rPr>
                <w:t>2213_AB1_Ferromagnetische+Materialien.docx</w:t>
              </w:r>
            </w:hyperlink>
            <w:r w:rsidRPr="00BA4A9C">
              <w:rPr>
                <w:rFonts w:ascii="Arial" w:hAnsi="Arial" w:cs="Arial"/>
                <w:sz w:val="20"/>
              </w:rPr>
              <w:t>.</w:t>
            </w:r>
          </w:p>
          <w:p w14:paraId="18E85B87" w14:textId="781E5C85" w:rsidR="00097590" w:rsidRPr="00BA4A9C" w:rsidRDefault="00097590" w:rsidP="006E33B6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Bei Aufgabe 2 und (der etwas offeneren) 3 kann man Fragen der Schülerinnen und Schüler nutzen, um z.B. bzgl. Magnetpole und weiteren Abhängigkeiten bei der Anziehung zu vertiefen. Ein Verweis auf den folgenden Physikunterricht ist auch legitim.</w:t>
            </w:r>
          </w:p>
          <w:p w14:paraId="6B16563E" w14:textId="1D3CD9E7" w:rsidR="006E33B6" w:rsidRPr="00BA4A9C" w:rsidRDefault="00002D75" w:rsidP="002B1D6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BA4A9C">
              <w:rPr>
                <w:rFonts w:ascii="Arial" w:hAnsi="Arial" w:cs="Arial"/>
                <w:sz w:val="20"/>
              </w:rPr>
              <w:t>Bei Aufgabe 4 planen die Schülerinnen und Schüler selbständig eine</w:t>
            </w:r>
            <w:r w:rsidR="00EC1DB1" w:rsidRPr="00BA4A9C">
              <w:rPr>
                <w:rFonts w:ascii="Arial" w:hAnsi="Arial" w:cs="Arial"/>
                <w:sz w:val="20"/>
              </w:rPr>
              <w:t>n</w:t>
            </w:r>
            <w:r w:rsidRPr="00BA4A9C">
              <w:rPr>
                <w:rFonts w:ascii="Arial" w:hAnsi="Arial" w:cs="Arial"/>
                <w:sz w:val="20"/>
              </w:rPr>
              <w:t xml:space="preserve"> Versuch.</w:t>
            </w:r>
            <w:r w:rsidR="00CA0C51" w:rsidRPr="00BA4A9C">
              <w:rPr>
                <w:rFonts w:ascii="Arial" w:hAnsi="Arial" w:cs="Arial"/>
                <w:sz w:val="20"/>
              </w:rPr>
              <w:t xml:space="preserve"> Aufgabe 1 und 3 bieten ihnen zwei verschiedene Anknüpfungspunkte.</w:t>
            </w:r>
          </w:p>
        </w:tc>
      </w:tr>
    </w:tbl>
    <w:p w14:paraId="3E5AEC38" w14:textId="77777777" w:rsidR="001635AD" w:rsidRPr="00BA4A9C" w:rsidRDefault="001635AD" w:rsidP="00CF0D45">
      <w:pPr>
        <w:rPr>
          <w:rFonts w:ascii="Arial" w:hAnsi="Arial" w:cs="Arial"/>
        </w:rPr>
      </w:pPr>
    </w:p>
    <w:sectPr w:rsidR="001635AD" w:rsidRPr="00BA4A9C" w:rsidSect="00CA0C51">
      <w:footerReference w:type="default" r:id="rId13"/>
      <w:footnotePr>
        <w:numFmt w:val="chicago"/>
        <w:numRestart w:val="eachPage"/>
      </w:footnotePr>
      <w:type w:val="continuous"/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4E57E" w14:textId="77777777" w:rsidR="00BF0D1B" w:rsidRDefault="00BF0D1B">
      <w:pPr>
        <w:spacing w:after="0"/>
      </w:pPr>
      <w:r>
        <w:separator/>
      </w:r>
    </w:p>
  </w:endnote>
  <w:endnote w:type="continuationSeparator" w:id="0">
    <w:p w14:paraId="109ACF64" w14:textId="77777777" w:rsidR="00BF0D1B" w:rsidRDefault="00BF0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24C4FD02" w:rsidR="003920BD" w:rsidRPr="00BA4A9C" w:rsidRDefault="00A56D42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BA4A9C">
      <w:rPr>
        <w:rFonts w:ascii="Arial" w:hAnsi="Arial" w:cs="Arial"/>
        <w:color w:val="999999"/>
      </w:rPr>
      <w:t>Z</w:t>
    </w:r>
    <w:r w:rsidR="001B6A93" w:rsidRPr="00BA4A9C">
      <w:rPr>
        <w:rFonts w:ascii="Arial" w:hAnsi="Arial" w:cs="Arial"/>
        <w:color w:val="999999"/>
      </w:rPr>
      <w:t>PG BNT</w:t>
    </w:r>
    <w:r w:rsidR="005D7D1F" w:rsidRPr="00BA4A9C">
      <w:rPr>
        <w:rFonts w:ascii="Arial" w:hAnsi="Arial" w:cs="Arial"/>
        <w:color w:val="999999"/>
      </w:rPr>
      <w:t xml:space="preserve"> 2017</w:t>
    </w:r>
    <w:r w:rsidR="003920BD" w:rsidRPr="00BA4A9C">
      <w:rPr>
        <w:rFonts w:ascii="Arial" w:hAnsi="Arial" w:cs="Arial"/>
        <w:color w:val="999999"/>
      </w:rPr>
      <w:tab/>
    </w:r>
    <w:r w:rsidR="003920BD" w:rsidRPr="00BA4A9C">
      <w:rPr>
        <w:rFonts w:ascii="Arial" w:hAnsi="Arial" w:cs="Arial"/>
        <w:color w:val="999999"/>
      </w:rPr>
      <w:tab/>
    </w:r>
    <w:r w:rsidR="001B6A93" w:rsidRPr="00BA4A9C">
      <w:rPr>
        <w:rFonts w:ascii="Arial" w:hAnsi="Arial" w:cs="Arial"/>
        <w:color w:val="999999"/>
      </w:rPr>
      <w:fldChar w:fldCharType="begin"/>
    </w:r>
    <w:r w:rsidR="001B6A93" w:rsidRPr="00BA4A9C">
      <w:rPr>
        <w:rFonts w:ascii="Arial" w:hAnsi="Arial" w:cs="Arial"/>
        <w:color w:val="999999"/>
      </w:rPr>
      <w:instrText xml:space="preserve"> FILENAME   \* MERGEFORMAT </w:instrText>
    </w:r>
    <w:r w:rsidR="001B6A93" w:rsidRPr="00BA4A9C">
      <w:rPr>
        <w:rFonts w:ascii="Arial" w:hAnsi="Arial" w:cs="Arial"/>
        <w:color w:val="999999"/>
      </w:rPr>
      <w:fldChar w:fldCharType="separate"/>
    </w:r>
    <w:r w:rsidR="003A0460">
      <w:rPr>
        <w:rFonts w:ascii="Arial" w:hAnsi="Arial" w:cs="Arial"/>
        <w:noProof/>
        <w:color w:val="999999"/>
      </w:rPr>
      <w:t>2221_Hinweise_Anziehende+Magnete.docx</w:t>
    </w:r>
    <w:r w:rsidR="001B6A93" w:rsidRPr="00BA4A9C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C54A" w14:textId="77777777" w:rsidR="00BF0D1B" w:rsidRDefault="00BF0D1B">
      <w:pPr>
        <w:spacing w:after="0"/>
      </w:pPr>
      <w:r>
        <w:separator/>
      </w:r>
    </w:p>
  </w:footnote>
  <w:footnote w:type="continuationSeparator" w:id="0">
    <w:p w14:paraId="688E60D3" w14:textId="77777777" w:rsidR="00BF0D1B" w:rsidRDefault="00BF0D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B1BCA"/>
    <w:multiLevelType w:val="hybridMultilevel"/>
    <w:tmpl w:val="BD2CB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20"/>
  </w:num>
  <w:num w:numId="10">
    <w:abstractNumId w:val="22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21"/>
  </w:num>
  <w:num w:numId="17">
    <w:abstractNumId w:val="19"/>
  </w:num>
  <w:num w:numId="18">
    <w:abstractNumId w:val="1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22"/>
  </w:num>
  <w:num w:numId="24">
    <w:abstractNumId w:val="9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2D75"/>
    <w:rsid w:val="0001415D"/>
    <w:rsid w:val="00014FCA"/>
    <w:rsid w:val="000217B6"/>
    <w:rsid w:val="00022A08"/>
    <w:rsid w:val="00051D70"/>
    <w:rsid w:val="000626E0"/>
    <w:rsid w:val="0007008E"/>
    <w:rsid w:val="00071B50"/>
    <w:rsid w:val="000735A5"/>
    <w:rsid w:val="000907A0"/>
    <w:rsid w:val="00097590"/>
    <w:rsid w:val="000A307D"/>
    <w:rsid w:val="000A4B4F"/>
    <w:rsid w:val="000B244F"/>
    <w:rsid w:val="000B3C55"/>
    <w:rsid w:val="000E589C"/>
    <w:rsid w:val="000E65EF"/>
    <w:rsid w:val="000F1A35"/>
    <w:rsid w:val="000F4BE9"/>
    <w:rsid w:val="000F5B32"/>
    <w:rsid w:val="0011218F"/>
    <w:rsid w:val="0011406A"/>
    <w:rsid w:val="00115F7E"/>
    <w:rsid w:val="00131E2D"/>
    <w:rsid w:val="00140029"/>
    <w:rsid w:val="00144AF8"/>
    <w:rsid w:val="00153166"/>
    <w:rsid w:val="001635AD"/>
    <w:rsid w:val="00166B06"/>
    <w:rsid w:val="001953EA"/>
    <w:rsid w:val="001B6A93"/>
    <w:rsid w:val="001D152E"/>
    <w:rsid w:val="001D238D"/>
    <w:rsid w:val="001F1F91"/>
    <w:rsid w:val="001F442F"/>
    <w:rsid w:val="0020680A"/>
    <w:rsid w:val="00213BC5"/>
    <w:rsid w:val="00246C42"/>
    <w:rsid w:val="0024733B"/>
    <w:rsid w:val="00265805"/>
    <w:rsid w:val="00295B9E"/>
    <w:rsid w:val="002A4D08"/>
    <w:rsid w:val="002B1D6C"/>
    <w:rsid w:val="002B5A22"/>
    <w:rsid w:val="002B6FB8"/>
    <w:rsid w:val="002F7BA6"/>
    <w:rsid w:val="00305B98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A0460"/>
    <w:rsid w:val="003A7873"/>
    <w:rsid w:val="003B15E7"/>
    <w:rsid w:val="003B2CBD"/>
    <w:rsid w:val="003C35C5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73223"/>
    <w:rsid w:val="00482B39"/>
    <w:rsid w:val="00484795"/>
    <w:rsid w:val="00491FC2"/>
    <w:rsid w:val="0049369D"/>
    <w:rsid w:val="004E68AD"/>
    <w:rsid w:val="00504142"/>
    <w:rsid w:val="00504485"/>
    <w:rsid w:val="0050677A"/>
    <w:rsid w:val="00507D20"/>
    <w:rsid w:val="0051338F"/>
    <w:rsid w:val="00514F5F"/>
    <w:rsid w:val="00521246"/>
    <w:rsid w:val="00555BB4"/>
    <w:rsid w:val="00562089"/>
    <w:rsid w:val="005754A6"/>
    <w:rsid w:val="005C5731"/>
    <w:rsid w:val="005C68EA"/>
    <w:rsid w:val="005C7A83"/>
    <w:rsid w:val="005D09CB"/>
    <w:rsid w:val="005D0C28"/>
    <w:rsid w:val="005D7D1F"/>
    <w:rsid w:val="005F0B4A"/>
    <w:rsid w:val="005F168A"/>
    <w:rsid w:val="005F620C"/>
    <w:rsid w:val="006157C7"/>
    <w:rsid w:val="00632DE1"/>
    <w:rsid w:val="00642847"/>
    <w:rsid w:val="006579C0"/>
    <w:rsid w:val="006606C3"/>
    <w:rsid w:val="00666C1F"/>
    <w:rsid w:val="006836EA"/>
    <w:rsid w:val="00687D7F"/>
    <w:rsid w:val="006D2600"/>
    <w:rsid w:val="006D2A84"/>
    <w:rsid w:val="006E33B6"/>
    <w:rsid w:val="0070216F"/>
    <w:rsid w:val="00707807"/>
    <w:rsid w:val="00717A9D"/>
    <w:rsid w:val="0072470C"/>
    <w:rsid w:val="00744135"/>
    <w:rsid w:val="00745719"/>
    <w:rsid w:val="00763039"/>
    <w:rsid w:val="00773740"/>
    <w:rsid w:val="00773B4F"/>
    <w:rsid w:val="00792937"/>
    <w:rsid w:val="00793D9F"/>
    <w:rsid w:val="007A3624"/>
    <w:rsid w:val="007C5490"/>
    <w:rsid w:val="007D0099"/>
    <w:rsid w:val="007D3CA3"/>
    <w:rsid w:val="007D7F12"/>
    <w:rsid w:val="00803571"/>
    <w:rsid w:val="0082279C"/>
    <w:rsid w:val="0084567B"/>
    <w:rsid w:val="0085083F"/>
    <w:rsid w:val="00852EFA"/>
    <w:rsid w:val="0085352E"/>
    <w:rsid w:val="0086062D"/>
    <w:rsid w:val="00866520"/>
    <w:rsid w:val="00872272"/>
    <w:rsid w:val="0087411D"/>
    <w:rsid w:val="008B035A"/>
    <w:rsid w:val="008C1255"/>
    <w:rsid w:val="008E687E"/>
    <w:rsid w:val="008F32B6"/>
    <w:rsid w:val="008F421B"/>
    <w:rsid w:val="008F6360"/>
    <w:rsid w:val="008F7622"/>
    <w:rsid w:val="00902378"/>
    <w:rsid w:val="00903D5A"/>
    <w:rsid w:val="00905EE7"/>
    <w:rsid w:val="00924F80"/>
    <w:rsid w:val="009254CC"/>
    <w:rsid w:val="00926142"/>
    <w:rsid w:val="00942586"/>
    <w:rsid w:val="00960BEF"/>
    <w:rsid w:val="00984C1C"/>
    <w:rsid w:val="00987ACD"/>
    <w:rsid w:val="00997560"/>
    <w:rsid w:val="009A0DE5"/>
    <w:rsid w:val="009B185C"/>
    <w:rsid w:val="009B7213"/>
    <w:rsid w:val="009C5F7A"/>
    <w:rsid w:val="009E509B"/>
    <w:rsid w:val="009F44AA"/>
    <w:rsid w:val="00A21B9F"/>
    <w:rsid w:val="00A45924"/>
    <w:rsid w:val="00A50371"/>
    <w:rsid w:val="00A507A4"/>
    <w:rsid w:val="00A56801"/>
    <w:rsid w:val="00A56D42"/>
    <w:rsid w:val="00A60EDC"/>
    <w:rsid w:val="00A627D3"/>
    <w:rsid w:val="00A63C74"/>
    <w:rsid w:val="00A75278"/>
    <w:rsid w:val="00AB002E"/>
    <w:rsid w:val="00AC20D3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08AC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A1955"/>
    <w:rsid w:val="00BA4A9C"/>
    <w:rsid w:val="00BB5864"/>
    <w:rsid w:val="00BD19AA"/>
    <w:rsid w:val="00BE07A2"/>
    <w:rsid w:val="00BF0D1B"/>
    <w:rsid w:val="00BF3E14"/>
    <w:rsid w:val="00C2236E"/>
    <w:rsid w:val="00C22B89"/>
    <w:rsid w:val="00C3060A"/>
    <w:rsid w:val="00C346EE"/>
    <w:rsid w:val="00C61C53"/>
    <w:rsid w:val="00C62824"/>
    <w:rsid w:val="00C7357B"/>
    <w:rsid w:val="00C73FD8"/>
    <w:rsid w:val="00C74D13"/>
    <w:rsid w:val="00C83547"/>
    <w:rsid w:val="00C84CE4"/>
    <w:rsid w:val="00C87830"/>
    <w:rsid w:val="00C92DEF"/>
    <w:rsid w:val="00CA0C51"/>
    <w:rsid w:val="00CB76EC"/>
    <w:rsid w:val="00CF0D45"/>
    <w:rsid w:val="00CF6B1D"/>
    <w:rsid w:val="00D000BA"/>
    <w:rsid w:val="00D024F7"/>
    <w:rsid w:val="00D22F67"/>
    <w:rsid w:val="00D27A47"/>
    <w:rsid w:val="00D4605F"/>
    <w:rsid w:val="00D6470A"/>
    <w:rsid w:val="00D73036"/>
    <w:rsid w:val="00D86F96"/>
    <w:rsid w:val="00D97C37"/>
    <w:rsid w:val="00DB2400"/>
    <w:rsid w:val="00DB5156"/>
    <w:rsid w:val="00DF14D3"/>
    <w:rsid w:val="00E06766"/>
    <w:rsid w:val="00E068E8"/>
    <w:rsid w:val="00E118A1"/>
    <w:rsid w:val="00E130FE"/>
    <w:rsid w:val="00E213DF"/>
    <w:rsid w:val="00E36630"/>
    <w:rsid w:val="00E444E3"/>
    <w:rsid w:val="00E444EC"/>
    <w:rsid w:val="00E47179"/>
    <w:rsid w:val="00E55B45"/>
    <w:rsid w:val="00E76B19"/>
    <w:rsid w:val="00EB12E3"/>
    <w:rsid w:val="00EB2677"/>
    <w:rsid w:val="00EC1DB1"/>
    <w:rsid w:val="00EC5D09"/>
    <w:rsid w:val="00ED358B"/>
    <w:rsid w:val="00ED4433"/>
    <w:rsid w:val="00EF0A78"/>
    <w:rsid w:val="00EF134F"/>
    <w:rsid w:val="00EF470B"/>
    <w:rsid w:val="00F07CAC"/>
    <w:rsid w:val="00F16A24"/>
    <w:rsid w:val="00F226DD"/>
    <w:rsid w:val="00F306EA"/>
    <w:rsid w:val="00F355A6"/>
    <w:rsid w:val="00F371C0"/>
    <w:rsid w:val="00F45F3E"/>
    <w:rsid w:val="00F56E07"/>
    <w:rsid w:val="00F729E3"/>
    <w:rsid w:val="00F77A4C"/>
    <w:rsid w:val="00F81816"/>
    <w:rsid w:val="00F91923"/>
    <w:rsid w:val="00F91FCE"/>
    <w:rsid w:val="00F94D75"/>
    <w:rsid w:val="00FA1EB5"/>
    <w:rsid w:val="00FA2C73"/>
    <w:rsid w:val="00FA6D2F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221_Ferromagnetische+Materialien/2213_AB1_Ferromagnetische+Materialie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223_AB_Anziehende+Magnete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2203_Magnet&amp;Strom-Box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223_AB_Anziehende+Magne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D88E1-360A-4B34-A8AE-B64D310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2779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28</cp:revision>
  <cp:lastPrinted>2017-03-10T22:14:00Z</cp:lastPrinted>
  <dcterms:created xsi:type="dcterms:W3CDTF">2016-05-05T12:38:00Z</dcterms:created>
  <dcterms:modified xsi:type="dcterms:W3CDTF">2017-03-10T22:15:00Z</dcterms:modified>
</cp:coreProperties>
</file>