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A6" w:rsidRDefault="00AA40AE" w:rsidP="00135179">
      <w:pPr>
        <w:jc w:val="center"/>
        <w:rPr>
          <w:b/>
        </w:rPr>
      </w:pPr>
      <w:r>
        <w:rPr>
          <w:b/>
        </w:rPr>
        <w:t>Analyse von Wasser</w:t>
      </w:r>
    </w:p>
    <w:p w:rsidR="00AA40AE" w:rsidRDefault="00AA40AE" w:rsidP="00135179">
      <w:pPr>
        <w:jc w:val="center"/>
        <w:rPr>
          <w:b/>
        </w:rPr>
      </w:pPr>
    </w:p>
    <w:p w:rsidR="00AA40AE" w:rsidRDefault="00AA40AE" w:rsidP="00AA40AE">
      <w:pPr>
        <w:jc w:val="both"/>
      </w:pPr>
      <w:r w:rsidRPr="00AA40AE">
        <w:t xml:space="preserve">Bei der </w:t>
      </w:r>
      <w:r>
        <w:t xml:space="preserve">Elektrolyse von Wasser wird die Verbindung Wasser in ihre Elemente Wasserstoff und Sauerstoff zerlegt. </w:t>
      </w:r>
    </w:p>
    <w:p w:rsidR="007A2144" w:rsidRPr="00AA40AE" w:rsidRDefault="00AA40AE" w:rsidP="00AA40AE">
      <w:pPr>
        <w:jc w:val="both"/>
      </w:pPr>
      <w:r>
        <w:t xml:space="preserve">Definition: Analyse bedeutet Zerlegen in die Elemente   </w:t>
      </w:r>
    </w:p>
    <w:p w:rsidR="007A2144" w:rsidRDefault="007A2144" w:rsidP="009C2EA4">
      <w:pPr>
        <w:rPr>
          <w:b/>
        </w:rPr>
      </w:pPr>
    </w:p>
    <w:p w:rsidR="007A2144" w:rsidRDefault="007A2144" w:rsidP="007A2144">
      <w:pPr>
        <w:jc w:val="both"/>
        <w:rPr>
          <w:b/>
        </w:rPr>
      </w:pPr>
    </w:p>
    <w:p w:rsidR="007A2144" w:rsidRDefault="007A2144" w:rsidP="007A2144">
      <w:pPr>
        <w:jc w:val="center"/>
        <w:rPr>
          <w:b/>
        </w:rPr>
      </w:pPr>
      <w:r>
        <w:rPr>
          <w:b/>
        </w:rPr>
        <w:t>Versuchsaufbau</w:t>
      </w:r>
    </w:p>
    <w:p w:rsidR="00135179" w:rsidRDefault="003314E4" w:rsidP="0013517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413611" cy="5202481"/>
            <wp:effectExtent l="38100" t="19050" r="15389" b="17219"/>
            <wp:docPr id="1" name="Grafik 0" descr="HofmannMittelstuf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fmannMittelstufe.E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611" cy="52024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5179" w:rsidRDefault="00135179" w:rsidP="00135179">
      <w:pPr>
        <w:jc w:val="center"/>
        <w:rPr>
          <w:b/>
        </w:rPr>
      </w:pPr>
    </w:p>
    <w:p w:rsidR="00135179" w:rsidRDefault="00AA40AE" w:rsidP="00AA40AE">
      <w:pPr>
        <w:jc w:val="both"/>
        <w:rPr>
          <w:b/>
        </w:rPr>
      </w:pPr>
      <w:r>
        <w:rPr>
          <w:b/>
        </w:rPr>
        <w:t>Versuchsdurchführung</w:t>
      </w:r>
    </w:p>
    <w:p w:rsidR="00AA40AE" w:rsidRDefault="00AA40AE" w:rsidP="00AA40AE">
      <w:pPr>
        <w:jc w:val="both"/>
        <w:rPr>
          <w:b/>
        </w:rPr>
      </w:pPr>
    </w:p>
    <w:p w:rsidR="00AA40AE" w:rsidRDefault="00AA40AE" w:rsidP="00AA40AE">
      <w:pPr>
        <w:jc w:val="both"/>
      </w:pPr>
      <w:r w:rsidRPr="00AA40AE">
        <w:t>Alle zwei Minuten wird das V</w:t>
      </w:r>
      <w:r>
        <w:t>olumen des</w:t>
      </w:r>
      <w:r w:rsidRPr="00AA40AE">
        <w:t xml:space="preserve"> Sauerstoff</w:t>
      </w:r>
      <w:r>
        <w:t>s</w:t>
      </w:r>
      <w:r w:rsidRPr="00AA40AE">
        <w:t xml:space="preserve"> und </w:t>
      </w:r>
      <w:r>
        <w:t xml:space="preserve">des </w:t>
      </w:r>
      <w:r w:rsidRPr="00AA40AE">
        <w:t>Wasserstoff</w:t>
      </w:r>
      <w:r>
        <w:t>s</w:t>
      </w:r>
      <w:r w:rsidRPr="00AA40AE">
        <w:t xml:space="preserve"> gemessen und die Werte in eine Tabelle aufgenommen. </w:t>
      </w:r>
    </w:p>
    <w:p w:rsidR="00AA40AE" w:rsidRDefault="00AA40AE" w:rsidP="00AA40AE">
      <w:pPr>
        <w:jc w:val="both"/>
      </w:pPr>
      <w:r>
        <w:t xml:space="preserve">Aus den Werten wird eine </w:t>
      </w:r>
      <w:r w:rsidR="00145CE1">
        <w:t>Grafik „Abhängigkeit der Wasserentwicklung und Sauerstoffentwicklung von der Zeit“ gezeichnet.</w:t>
      </w:r>
    </w:p>
    <w:p w:rsidR="00145CE1" w:rsidRDefault="00145CE1" w:rsidP="00AA40AE">
      <w:pPr>
        <w:jc w:val="both"/>
      </w:pPr>
    </w:p>
    <w:p w:rsidR="00145CE1" w:rsidRDefault="00145CE1" w:rsidP="00AA40AE">
      <w:pPr>
        <w:jc w:val="both"/>
        <w:rPr>
          <w:b/>
        </w:rPr>
      </w:pPr>
      <w:r w:rsidRPr="00145CE1">
        <w:rPr>
          <w:b/>
        </w:rPr>
        <w:t>Aufgabe</w:t>
      </w:r>
    </w:p>
    <w:p w:rsidR="00145CE1" w:rsidRDefault="00145CE1" w:rsidP="00AA40AE">
      <w:pPr>
        <w:jc w:val="both"/>
        <w:rPr>
          <w:b/>
        </w:rPr>
      </w:pPr>
    </w:p>
    <w:p w:rsidR="00145CE1" w:rsidRPr="00145CE1" w:rsidRDefault="00145CE1" w:rsidP="00AA40AE">
      <w:pPr>
        <w:jc w:val="both"/>
      </w:pPr>
      <w:r w:rsidRPr="00145CE1">
        <w:t>Welche A</w:t>
      </w:r>
      <w:r>
        <w:t>ussage kann aus dem Versuchsergebnis für die chemische Formel des Wassers abgeleitet werden?</w:t>
      </w:r>
    </w:p>
    <w:p w:rsidR="00E803DF" w:rsidRDefault="00E803DF" w:rsidP="00E803DF">
      <w:pPr>
        <w:rPr>
          <w:b/>
        </w:rPr>
      </w:pPr>
    </w:p>
    <w:p w:rsidR="00145CE1" w:rsidRPr="00145CE1" w:rsidRDefault="00145CE1" w:rsidP="00E803DF">
      <w:pPr>
        <w:rPr>
          <w:b/>
        </w:rPr>
      </w:pPr>
    </w:p>
    <w:p w:rsidR="00E803DF" w:rsidRDefault="00E803DF" w:rsidP="00E803DF">
      <w:pPr>
        <w:rPr>
          <w:b/>
        </w:rPr>
      </w:pPr>
      <w:r w:rsidRPr="00145CE1">
        <w:rPr>
          <w:b/>
        </w:rPr>
        <w:t xml:space="preserve">Vorschlag für die Einbindung der </w:t>
      </w:r>
      <w:r w:rsidR="00D053DC">
        <w:rPr>
          <w:b/>
        </w:rPr>
        <w:t xml:space="preserve">Schülerinnen und </w:t>
      </w:r>
      <w:r w:rsidRPr="00145CE1">
        <w:rPr>
          <w:b/>
        </w:rPr>
        <w:t>Schüler in den Demonstrationsversuch.</w:t>
      </w:r>
    </w:p>
    <w:p w:rsidR="00145CE1" w:rsidRPr="00145CE1" w:rsidRDefault="00145CE1" w:rsidP="00E803DF">
      <w:pPr>
        <w:rPr>
          <w:b/>
        </w:rPr>
      </w:pPr>
    </w:p>
    <w:p w:rsidR="00E803DF" w:rsidRDefault="00E803DF" w:rsidP="00E803DF">
      <w:r w:rsidRPr="007A2144">
        <w:t>Der Lehre</w:t>
      </w:r>
      <w:r w:rsidR="00284C3D">
        <w:t>r baut die Apparatur und startet den Versuch.</w:t>
      </w:r>
    </w:p>
    <w:p w:rsidR="00E803DF" w:rsidRDefault="00145CE1" w:rsidP="00E803DF">
      <w:r>
        <w:t xml:space="preserve">1. </w:t>
      </w:r>
      <w:r w:rsidR="00D053DC">
        <w:t>Person</w:t>
      </w:r>
      <w:r w:rsidR="00D442C0">
        <w:t xml:space="preserve"> 1</w:t>
      </w:r>
      <w:r>
        <w:t xml:space="preserve"> gibt alle zwei</w:t>
      </w:r>
      <w:r w:rsidR="00E803DF">
        <w:t xml:space="preserve"> Minute</w:t>
      </w:r>
      <w:r>
        <w:t>n</w:t>
      </w:r>
      <w:r w:rsidR="00E803DF">
        <w:t xml:space="preserve"> die Zeit </w:t>
      </w:r>
      <w:r>
        <w:t xml:space="preserve">zum Ablesen </w:t>
      </w:r>
      <w:r w:rsidR="00E803DF">
        <w:t>an.</w:t>
      </w:r>
    </w:p>
    <w:p w:rsidR="00D442C0" w:rsidRDefault="00145CE1" w:rsidP="00E803DF">
      <w:r>
        <w:t xml:space="preserve">2. </w:t>
      </w:r>
      <w:r w:rsidR="00D053DC">
        <w:t xml:space="preserve">Person </w:t>
      </w:r>
      <w:r w:rsidR="00D442C0">
        <w:t xml:space="preserve">2 </w:t>
      </w:r>
      <w:r>
        <w:t xml:space="preserve"> </w:t>
      </w:r>
      <w:r w:rsidR="00E803DF">
        <w:t>lie</w:t>
      </w:r>
      <w:r>
        <w:t>st am Elektrolysegerät das Volumen</w:t>
      </w:r>
      <w:r w:rsidR="00E803DF">
        <w:t xml:space="preserve"> des Wasserstoffs, </w:t>
      </w:r>
      <w:r w:rsidR="00D053DC">
        <w:t xml:space="preserve">Person </w:t>
      </w:r>
      <w:r w:rsidR="00D442C0">
        <w:t xml:space="preserve">3 </w:t>
      </w:r>
      <w:r>
        <w:t>das</w:t>
      </w:r>
      <w:r w:rsidR="00E803DF">
        <w:t xml:space="preserve"> </w:t>
      </w:r>
    </w:p>
    <w:p w:rsidR="00E803DF" w:rsidRDefault="00D442C0" w:rsidP="00E803DF">
      <w:r>
        <w:t xml:space="preserve">    </w:t>
      </w:r>
      <w:r w:rsidR="00145CE1">
        <w:t>Volumen</w:t>
      </w:r>
      <w:r w:rsidR="00D053DC">
        <w:t xml:space="preserve"> des Sauerstoffs.</w:t>
      </w:r>
    </w:p>
    <w:p w:rsidR="00D053DC" w:rsidRDefault="00145CE1" w:rsidP="00E803DF">
      <w:r>
        <w:t xml:space="preserve">4. </w:t>
      </w:r>
      <w:r w:rsidR="00D053DC">
        <w:t>Person 4</w:t>
      </w:r>
      <w:r>
        <w:t xml:space="preserve"> </w:t>
      </w:r>
      <w:r w:rsidR="00E803DF">
        <w:t xml:space="preserve">übernimmt die Werte von </w:t>
      </w:r>
      <w:r w:rsidR="00D053DC">
        <w:t>Person</w:t>
      </w:r>
      <w:r w:rsidR="00E803DF">
        <w:t xml:space="preserve"> 2, </w:t>
      </w:r>
      <w:r w:rsidR="00D053DC">
        <w:t>Person</w:t>
      </w:r>
      <w:r w:rsidR="00D442C0">
        <w:t xml:space="preserve"> 5 </w:t>
      </w:r>
      <w:r w:rsidR="00D053DC">
        <w:t xml:space="preserve"> trägt</w:t>
      </w:r>
      <w:r w:rsidR="00E803DF">
        <w:t xml:space="preserve"> die Werte von </w:t>
      </w:r>
    </w:p>
    <w:p w:rsidR="00E803DF" w:rsidRDefault="00D053DC" w:rsidP="00E803DF">
      <w:r>
        <w:t xml:space="preserve">    </w:t>
      </w:r>
      <w:r w:rsidR="00D442C0">
        <w:t>Person</w:t>
      </w:r>
      <w:r>
        <w:t xml:space="preserve"> </w:t>
      </w:r>
      <w:r w:rsidR="00E803DF">
        <w:t>3 in eine Tabelle an der Tafel</w:t>
      </w:r>
      <w:r>
        <w:t xml:space="preserve"> ein</w:t>
      </w:r>
      <w:r w:rsidR="00E803DF">
        <w:t>.</w:t>
      </w:r>
    </w:p>
    <w:p w:rsidR="00E803DF" w:rsidRDefault="00D053DC" w:rsidP="00E803DF">
      <w:r>
        <w:t xml:space="preserve">5. </w:t>
      </w:r>
      <w:r w:rsidR="00D442C0">
        <w:t>Person</w:t>
      </w:r>
      <w:r w:rsidR="00145CE1">
        <w:t xml:space="preserve"> </w:t>
      </w:r>
      <w:r>
        <w:t xml:space="preserve">5 und 6 </w:t>
      </w:r>
      <w:r w:rsidR="00E803DF">
        <w:t>zeichnen eine Grafik der ermittelten Werte an die Tafel.</w:t>
      </w:r>
    </w:p>
    <w:p w:rsidR="00D053DC" w:rsidRDefault="00D053DC" w:rsidP="00E803DF"/>
    <w:p w:rsidR="00E803DF" w:rsidRPr="007A2144" w:rsidRDefault="00E803DF" w:rsidP="00E803DF">
      <w:r>
        <w:t xml:space="preserve">Nach 10 Minuten weisen die </w:t>
      </w:r>
      <w:r w:rsidR="00D053DC">
        <w:t xml:space="preserve">Schülerinnen und </w:t>
      </w:r>
      <w:r>
        <w:t xml:space="preserve">Schüler zwei bis sechs weitere fünf </w:t>
      </w:r>
      <w:r w:rsidR="00D053DC">
        <w:t xml:space="preserve">Personen </w:t>
      </w:r>
      <w:r>
        <w:t xml:space="preserve"> in ihre Tätigkeit ein. Die erste Gruppe kann, wie der Rest der Klasse, das Tafelbild in das Heft aufnehmen.   </w:t>
      </w:r>
    </w:p>
    <w:p w:rsidR="007A2144" w:rsidRDefault="007A2144" w:rsidP="00135179">
      <w:pPr>
        <w:jc w:val="center"/>
        <w:rPr>
          <w:b/>
        </w:rPr>
      </w:pPr>
    </w:p>
    <w:p w:rsidR="002C2BB6" w:rsidRDefault="002C2BB6" w:rsidP="00135179">
      <w:pPr>
        <w:jc w:val="center"/>
        <w:rPr>
          <w:b/>
        </w:rPr>
      </w:pPr>
    </w:p>
    <w:p w:rsidR="002C2BB6" w:rsidRDefault="002C2BB6" w:rsidP="002C2BB6">
      <w:pPr>
        <w:rPr>
          <w:b/>
        </w:rPr>
      </w:pPr>
      <w:r>
        <w:rPr>
          <w:b/>
        </w:rPr>
        <w:t>Versuchsergebnis</w:t>
      </w:r>
    </w:p>
    <w:p w:rsidR="002C2BB6" w:rsidRDefault="002C2BB6" w:rsidP="002C2BB6">
      <w:pPr>
        <w:rPr>
          <w:b/>
        </w:rPr>
      </w:pPr>
    </w:p>
    <w:p w:rsidR="002C2BB6" w:rsidRPr="002C2BB6" w:rsidRDefault="002C2BB6" w:rsidP="002C2BB6">
      <w:r w:rsidRPr="002C2BB6">
        <w:t>Tabelle</w:t>
      </w:r>
    </w:p>
    <w:p w:rsidR="002C2BB6" w:rsidRDefault="002C2BB6" w:rsidP="002C2BB6">
      <w:pPr>
        <w:rPr>
          <w:b/>
        </w:rPr>
      </w:pPr>
    </w:p>
    <w:tbl>
      <w:tblPr>
        <w:tblW w:w="3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2C2BB6" w:rsidRPr="002C2BB6" w:rsidTr="002C2BB6">
        <w:trPr>
          <w:trHeight w:val="255"/>
        </w:trPr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 in min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Vol. H</w:t>
            </w:r>
            <w:r>
              <w:rPr>
                <w:rFonts w:cs="Arial"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in ml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Vol. O</w:t>
            </w:r>
            <w:r>
              <w:rPr>
                <w:rFonts w:cs="Arial"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in ml</w:t>
            </w:r>
          </w:p>
        </w:tc>
      </w:tr>
      <w:tr w:rsidR="002C2BB6" w:rsidRPr="002C2BB6" w:rsidTr="002C2BB6">
        <w:trPr>
          <w:trHeight w:val="255"/>
        </w:trPr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C2BB6" w:rsidRPr="002C2BB6" w:rsidTr="002C2BB6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1,0</w:t>
            </w:r>
          </w:p>
        </w:tc>
      </w:tr>
      <w:tr w:rsidR="002C2BB6" w:rsidRPr="002C2BB6" w:rsidTr="002C2BB6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2,0</w:t>
            </w:r>
          </w:p>
        </w:tc>
        <w:bookmarkStart w:id="0" w:name="_GoBack"/>
        <w:bookmarkEnd w:id="0"/>
      </w:tr>
      <w:tr w:rsidR="002C2BB6" w:rsidRPr="002C2BB6" w:rsidTr="002C2BB6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4,5</w:t>
            </w:r>
          </w:p>
        </w:tc>
      </w:tr>
      <w:tr w:rsidR="002C2BB6" w:rsidRPr="002C2BB6" w:rsidTr="002C2BB6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6,0</w:t>
            </w:r>
          </w:p>
        </w:tc>
      </w:tr>
      <w:tr w:rsidR="002C2BB6" w:rsidRPr="002C2BB6" w:rsidTr="002C2BB6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8,0</w:t>
            </w:r>
          </w:p>
        </w:tc>
      </w:tr>
      <w:tr w:rsidR="002C2BB6" w:rsidRPr="002C2BB6" w:rsidTr="002C2BB6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9,5</w:t>
            </w:r>
          </w:p>
        </w:tc>
      </w:tr>
      <w:tr w:rsidR="002C2BB6" w:rsidRPr="002C2BB6" w:rsidTr="002C2BB6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11,0</w:t>
            </w:r>
          </w:p>
        </w:tc>
      </w:tr>
      <w:tr w:rsidR="002C2BB6" w:rsidRPr="002C2BB6" w:rsidTr="002C2BB6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13,0</w:t>
            </w:r>
          </w:p>
        </w:tc>
      </w:tr>
      <w:tr w:rsidR="002C2BB6" w:rsidRPr="002C2BB6" w:rsidTr="002C2BB6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2C2BB6" w:rsidRPr="002C2BB6" w:rsidTr="002C2BB6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17,0</w:t>
            </w:r>
          </w:p>
        </w:tc>
      </w:tr>
      <w:tr w:rsidR="002C2BB6" w:rsidRPr="002C2BB6" w:rsidTr="002C2BB6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18,0</w:t>
            </w:r>
          </w:p>
        </w:tc>
      </w:tr>
      <w:tr w:rsidR="002C2BB6" w:rsidRPr="002C2BB6" w:rsidTr="002C2BB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42,0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2BB6" w:rsidRPr="002C2BB6" w:rsidRDefault="002C2BB6" w:rsidP="002C2BB6">
            <w:pPr>
              <w:jc w:val="right"/>
              <w:rPr>
                <w:rFonts w:cs="Arial"/>
                <w:sz w:val="20"/>
                <w:szCs w:val="20"/>
              </w:rPr>
            </w:pPr>
            <w:r w:rsidRPr="002C2BB6">
              <w:rPr>
                <w:rFonts w:cs="Arial"/>
                <w:sz w:val="20"/>
                <w:szCs w:val="20"/>
              </w:rPr>
              <w:t>21,0</w:t>
            </w:r>
          </w:p>
        </w:tc>
      </w:tr>
    </w:tbl>
    <w:p w:rsidR="002C2BB6" w:rsidRDefault="002C2BB6" w:rsidP="002C2BB6">
      <w:pPr>
        <w:rPr>
          <w:b/>
        </w:rPr>
      </w:pPr>
    </w:p>
    <w:p w:rsidR="002C2BB6" w:rsidRDefault="002C2BB6" w:rsidP="002C2BB6">
      <w:pPr>
        <w:rPr>
          <w:b/>
        </w:rPr>
      </w:pPr>
    </w:p>
    <w:p w:rsidR="00145CE1" w:rsidRDefault="00145CE1" w:rsidP="002C2BB6">
      <w:pPr>
        <w:rPr>
          <w:b/>
        </w:rPr>
      </w:pPr>
    </w:p>
    <w:p w:rsidR="00145CE1" w:rsidRDefault="00145CE1" w:rsidP="002C2BB6">
      <w:pPr>
        <w:rPr>
          <w:b/>
        </w:rPr>
      </w:pPr>
    </w:p>
    <w:p w:rsidR="00145CE1" w:rsidRDefault="00145CE1" w:rsidP="002C2BB6">
      <w:pPr>
        <w:rPr>
          <w:b/>
        </w:rPr>
      </w:pPr>
    </w:p>
    <w:p w:rsidR="00145CE1" w:rsidRDefault="00145CE1" w:rsidP="002C2BB6">
      <w:pPr>
        <w:rPr>
          <w:b/>
        </w:rPr>
      </w:pPr>
    </w:p>
    <w:p w:rsidR="00145CE1" w:rsidRDefault="00145CE1" w:rsidP="002C2BB6">
      <w:pPr>
        <w:rPr>
          <w:b/>
        </w:rPr>
      </w:pPr>
    </w:p>
    <w:p w:rsidR="00145CE1" w:rsidRDefault="00145CE1" w:rsidP="002C2BB6">
      <w:pPr>
        <w:rPr>
          <w:b/>
        </w:rPr>
      </w:pPr>
    </w:p>
    <w:p w:rsidR="00145CE1" w:rsidRDefault="00145CE1" w:rsidP="002C2BB6">
      <w:pPr>
        <w:rPr>
          <w:b/>
        </w:rPr>
      </w:pPr>
    </w:p>
    <w:p w:rsidR="00145CE1" w:rsidRDefault="00145CE1" w:rsidP="002C2BB6">
      <w:pPr>
        <w:rPr>
          <w:b/>
        </w:rPr>
      </w:pPr>
    </w:p>
    <w:p w:rsidR="00145CE1" w:rsidRDefault="00145CE1" w:rsidP="002C2BB6">
      <w:pPr>
        <w:rPr>
          <w:b/>
        </w:rPr>
      </w:pPr>
    </w:p>
    <w:p w:rsidR="00145CE1" w:rsidRDefault="00145CE1" w:rsidP="002C2BB6">
      <w:pPr>
        <w:rPr>
          <w:b/>
        </w:rPr>
      </w:pPr>
    </w:p>
    <w:p w:rsidR="00145CE1" w:rsidRDefault="00145CE1" w:rsidP="002C2BB6">
      <w:pPr>
        <w:rPr>
          <w:b/>
        </w:rPr>
      </w:pPr>
    </w:p>
    <w:p w:rsidR="00145CE1" w:rsidRDefault="00145CE1" w:rsidP="002C2BB6">
      <w:pPr>
        <w:rPr>
          <w:b/>
        </w:rPr>
      </w:pPr>
    </w:p>
    <w:p w:rsidR="00145CE1" w:rsidRDefault="00145CE1" w:rsidP="002C2BB6">
      <w:pPr>
        <w:rPr>
          <w:b/>
        </w:rPr>
      </w:pPr>
    </w:p>
    <w:p w:rsidR="00145CE1" w:rsidRDefault="00145CE1" w:rsidP="002C2BB6">
      <w:pPr>
        <w:rPr>
          <w:b/>
        </w:rPr>
      </w:pPr>
    </w:p>
    <w:p w:rsidR="00145CE1" w:rsidRDefault="00145CE1" w:rsidP="002C2BB6">
      <w:pPr>
        <w:rPr>
          <w:b/>
        </w:rPr>
      </w:pPr>
    </w:p>
    <w:p w:rsidR="00145CE1" w:rsidRDefault="00145CE1" w:rsidP="002C2BB6">
      <w:pPr>
        <w:rPr>
          <w:b/>
        </w:rPr>
      </w:pPr>
    </w:p>
    <w:p w:rsidR="00145CE1" w:rsidRDefault="00145CE1" w:rsidP="002C2BB6">
      <w:pPr>
        <w:rPr>
          <w:b/>
        </w:rPr>
      </w:pPr>
    </w:p>
    <w:p w:rsidR="00145CE1" w:rsidRDefault="00145CE1" w:rsidP="002C2BB6">
      <w:pPr>
        <w:rPr>
          <w:b/>
        </w:rPr>
      </w:pPr>
    </w:p>
    <w:p w:rsidR="002C2BB6" w:rsidRPr="002C2BB6" w:rsidRDefault="00145CE1" w:rsidP="00145CE1">
      <w:pPr>
        <w:jc w:val="both"/>
      </w:pPr>
      <w:r>
        <w:t xml:space="preserve">Daraus wird die folgende </w:t>
      </w:r>
      <w:r w:rsidR="002C2BB6" w:rsidRPr="002C2BB6">
        <w:t>Grafik</w:t>
      </w:r>
      <w:r>
        <w:t xml:space="preserve"> entwickelt</w:t>
      </w:r>
      <w:r w:rsidR="009C2EA4">
        <w:t xml:space="preserve">, bei der </w:t>
      </w:r>
      <w:r w:rsidR="00CF1D4C">
        <w:t>die Trendlinie (Hinweis auf Mess</w:t>
      </w:r>
      <w:r w:rsidR="009C2EA4">
        <w:t xml:space="preserve">fehler) verwendet werden sollte. </w:t>
      </w:r>
      <w:r>
        <w:t>Die Messfehler werden (Messungenauigke</w:t>
      </w:r>
      <w:r w:rsidR="00CF1D4C">
        <w:t>it, das im Wasser aufsteigende G</w:t>
      </w:r>
      <w:r>
        <w:t>as wird in der Messung nicht erfasst) diskutiert und notiert.</w:t>
      </w:r>
    </w:p>
    <w:p w:rsidR="002C2BB6" w:rsidRDefault="002C2BB6" w:rsidP="002C2BB6">
      <w:pPr>
        <w:rPr>
          <w:b/>
        </w:rPr>
      </w:pPr>
    </w:p>
    <w:p w:rsidR="002C2BB6" w:rsidRDefault="002C2BB6" w:rsidP="002C2BB6">
      <w:pPr>
        <w:rPr>
          <w:b/>
        </w:rPr>
      </w:pPr>
      <w:r w:rsidRPr="002C2BB6">
        <w:rPr>
          <w:b/>
          <w:noProof/>
        </w:rPr>
        <w:drawing>
          <wp:inline distT="0" distB="0" distL="0" distR="0">
            <wp:extent cx="5760720" cy="4203868"/>
            <wp:effectExtent l="19050" t="0" r="11430" b="6182"/>
            <wp:docPr id="4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2BB6" w:rsidRDefault="002C2BB6" w:rsidP="002C2BB6">
      <w:pPr>
        <w:rPr>
          <w:b/>
        </w:rPr>
      </w:pPr>
    </w:p>
    <w:p w:rsidR="007A2144" w:rsidRDefault="007A2144" w:rsidP="00135179">
      <w:pPr>
        <w:jc w:val="center"/>
        <w:rPr>
          <w:b/>
        </w:rPr>
      </w:pPr>
    </w:p>
    <w:p w:rsidR="002C2BB6" w:rsidRDefault="002C2BB6" w:rsidP="00135179">
      <w:pPr>
        <w:jc w:val="center"/>
        <w:rPr>
          <w:b/>
        </w:rPr>
      </w:pPr>
    </w:p>
    <w:p w:rsidR="002C2BB6" w:rsidRDefault="002C2BB6" w:rsidP="002C2BB6">
      <w:pPr>
        <w:jc w:val="both"/>
      </w:pPr>
      <w:r>
        <w:t>Anschließend werden Wasserstoff durch die</w:t>
      </w:r>
      <w:r w:rsidRPr="002C2BB6">
        <w:t xml:space="preserve"> Knallgasprobe</w:t>
      </w:r>
      <w:r w:rsidR="00145CE1">
        <w:t xml:space="preserve"> und Sauerstoff durch die G</w:t>
      </w:r>
      <w:r>
        <w:t>limmspanprobe nachgewiesen.</w:t>
      </w:r>
    </w:p>
    <w:p w:rsidR="002C2BB6" w:rsidRDefault="002C2BB6" w:rsidP="002C2BB6">
      <w:pPr>
        <w:jc w:val="both"/>
      </w:pPr>
    </w:p>
    <w:p w:rsidR="002C2BB6" w:rsidRDefault="002C2BB6" w:rsidP="002C2BB6">
      <w:pPr>
        <w:jc w:val="both"/>
      </w:pPr>
      <w:r>
        <w:t xml:space="preserve">Ergebnis: Bei der Elektrolyse von Wasser entstehen Wasserstoff und Sauerstoff im Verhältnis </w:t>
      </w:r>
      <w:proofErr w:type="gramStart"/>
      <w:r>
        <w:t>2 :</w:t>
      </w:r>
      <w:proofErr w:type="gramEnd"/>
      <w:r>
        <w:t xml:space="preserve"> 1.</w:t>
      </w:r>
    </w:p>
    <w:p w:rsidR="00145CE1" w:rsidRPr="00145CE1" w:rsidRDefault="00145CE1" w:rsidP="002C2BB6">
      <w:pPr>
        <w:jc w:val="both"/>
        <w:rPr>
          <w:vertAlign w:val="subscript"/>
        </w:rPr>
      </w:pPr>
      <w:r>
        <w:t>Mögliche Formel des Wassers 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x</w:t>
      </w:r>
    </w:p>
    <w:sectPr w:rsidR="00145CE1" w:rsidRPr="00145CE1" w:rsidSect="005E3F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79"/>
    <w:rsid w:val="00053E0F"/>
    <w:rsid w:val="00135179"/>
    <w:rsid w:val="00145CE1"/>
    <w:rsid w:val="002410AF"/>
    <w:rsid w:val="00284C3D"/>
    <w:rsid w:val="002C2BB6"/>
    <w:rsid w:val="0030778C"/>
    <w:rsid w:val="003314E4"/>
    <w:rsid w:val="003405D2"/>
    <w:rsid w:val="003F6875"/>
    <w:rsid w:val="00416557"/>
    <w:rsid w:val="005E3FA4"/>
    <w:rsid w:val="00764BA6"/>
    <w:rsid w:val="007A2144"/>
    <w:rsid w:val="008A1F0B"/>
    <w:rsid w:val="009C2EA4"/>
    <w:rsid w:val="00AA40AE"/>
    <w:rsid w:val="00CF1D4C"/>
    <w:rsid w:val="00D053DC"/>
    <w:rsid w:val="00D442C0"/>
    <w:rsid w:val="00E27B34"/>
    <w:rsid w:val="00E803DF"/>
    <w:rsid w:val="00EC1D40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3FA4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A21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2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3FA4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A21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2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hemie\Arbeitsbl&#228;tter\Elektrolyse%20von%20Wasse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DE" sz="1200" baseline="0"/>
              <a:t>Elektrolyse von Wasser</a:t>
            </a:r>
          </a:p>
        </c:rich>
      </c:tx>
      <c:layout>
        <c:manualLayout>
          <c:xMode val="edge"/>
          <c:yMode val="edge"/>
          <c:x val="0.34589877654182166"/>
          <c:y val="3.026902842810482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5617529880478266E-2"/>
          <c:y val="0.14577656675749351"/>
          <c:w val="0.87948207171314741"/>
          <c:h val="0.68256130790190628"/>
        </c:manualLayout>
      </c:layout>
      <c:lineChart>
        <c:grouping val="standard"/>
        <c:varyColors val="0"/>
        <c:ser>
          <c:idx val="0"/>
          <c:order val="0"/>
          <c:tx>
            <c:v>Wasserstoff</c:v>
          </c:tx>
          <c:spPr>
            <a:ln w="12700">
              <a:solidFill>
                <a:srgbClr val="339966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trendlineType val="linear"/>
            <c:dispRSqr val="0"/>
            <c:dispEq val="0"/>
          </c:trendline>
          <c:errBars>
            <c:errDir val="y"/>
            <c:errBarType val="both"/>
            <c:errValType val="fixedVal"/>
            <c:noEndCap val="0"/>
            <c:val val="0.5"/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numRef>
              <c:f>Tabelle1!$A$1:$A$13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</c:numCache>
            </c:numRef>
          </c:cat>
          <c:val>
            <c:numRef>
              <c:f>Tabelle1!$B$1:$B$13</c:f>
              <c:numCache>
                <c:formatCode>0.0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5.5</c:v>
                </c:pt>
                <c:pt idx="3">
                  <c:v>9</c:v>
                </c:pt>
                <c:pt idx="4">
                  <c:v>13</c:v>
                </c:pt>
                <c:pt idx="5">
                  <c:v>16</c:v>
                </c:pt>
                <c:pt idx="6">
                  <c:v>20</c:v>
                </c:pt>
                <c:pt idx="7">
                  <c:v>24</c:v>
                </c:pt>
                <c:pt idx="8">
                  <c:v>27</c:v>
                </c:pt>
                <c:pt idx="9">
                  <c:v>31</c:v>
                </c:pt>
                <c:pt idx="10">
                  <c:v>34</c:v>
                </c:pt>
                <c:pt idx="11">
                  <c:v>38</c:v>
                </c:pt>
                <c:pt idx="12">
                  <c:v>42</c:v>
                </c:pt>
              </c:numCache>
            </c:numRef>
          </c:val>
          <c:smooth val="0"/>
        </c:ser>
        <c:ser>
          <c:idx val="1"/>
          <c:order val="1"/>
          <c:tx>
            <c:v>Sauerstoff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trendline>
            <c:trendlineType val="linear"/>
            <c:dispRSqr val="0"/>
            <c:dispEq val="0"/>
          </c:trendline>
          <c:errBars>
            <c:errDir val="y"/>
            <c:errBarType val="both"/>
            <c:errValType val="fixedVal"/>
            <c:noEndCap val="0"/>
            <c:val val="0.5"/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numRef>
              <c:f>Tabelle1!$A$1:$A$13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</c:numCache>
            </c:numRef>
          </c:cat>
          <c:val>
            <c:numRef>
              <c:f>Tabelle1!$C$1:$C$13</c:f>
              <c:numCache>
                <c:formatCode>0.0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4.5</c:v>
                </c:pt>
                <c:pt idx="4">
                  <c:v>6</c:v>
                </c:pt>
                <c:pt idx="5">
                  <c:v>8</c:v>
                </c:pt>
                <c:pt idx="6">
                  <c:v>9.5</c:v>
                </c:pt>
                <c:pt idx="7">
                  <c:v>11</c:v>
                </c:pt>
                <c:pt idx="8">
                  <c:v>13</c:v>
                </c:pt>
                <c:pt idx="9">
                  <c:v>15</c:v>
                </c:pt>
                <c:pt idx="10">
                  <c:v>17</c:v>
                </c:pt>
                <c:pt idx="11">
                  <c:v>18</c:v>
                </c:pt>
                <c:pt idx="12">
                  <c:v>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446912"/>
        <c:axId val="179448448"/>
      </c:lineChart>
      <c:catAx>
        <c:axId val="17944691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t in min</a:t>
                </a:r>
              </a:p>
            </c:rich>
          </c:tx>
          <c:layout>
            <c:manualLayout>
              <c:xMode val="edge"/>
              <c:yMode val="edge"/>
              <c:x val="0.5049800796812749"/>
              <c:y val="0.8773841961852866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79448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9448448"/>
        <c:scaling>
          <c:orientation val="minMax"/>
          <c:max val="45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 baseline="0"/>
                  <a:t>Volumen in ml</a:t>
                </a:r>
              </a:p>
            </c:rich>
          </c:tx>
          <c:layout>
            <c:manualLayout>
              <c:xMode val="edge"/>
              <c:yMode val="edge"/>
              <c:x val="2.2835687205766011E-3"/>
              <c:y val="0.41369519689961731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79446912"/>
        <c:crosses val="autoZero"/>
        <c:crossBetween val="midCat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4501989334666532"/>
          <c:y val="0.93744808352688624"/>
          <c:w val="0.5866533864541843"/>
          <c:h val="3.678474114441421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6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BF0D-81E9-44D1-8EE5-544B1C6D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Wasserzersetzung nach Hofmann</vt:lpstr>
    </vt:vector>
  </TitlesOfParts>
  <Company>IZLBW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Wasserzersetzung nach Hofmann</dc:title>
  <dc:creator>Ertelt, Ulrike (LS)</dc:creator>
  <cp:lastModifiedBy>Ertelt, Ulrike (LS)</cp:lastModifiedBy>
  <cp:revision>4</cp:revision>
  <cp:lastPrinted>2013-06-11T09:56:00Z</cp:lastPrinted>
  <dcterms:created xsi:type="dcterms:W3CDTF">2013-06-11T09:55:00Z</dcterms:created>
  <dcterms:modified xsi:type="dcterms:W3CDTF">2013-06-11T09:56:00Z</dcterms:modified>
</cp:coreProperties>
</file>