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0B" w:rsidRPr="00EA38ED" w:rsidRDefault="00EA38ED" w:rsidP="00EA38E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EA38ED">
        <w:rPr>
          <w:rFonts w:ascii="Arial" w:hAnsi="Arial" w:cs="Arial"/>
          <w:b/>
          <w:sz w:val="28"/>
          <w:szCs w:val="28"/>
        </w:rPr>
        <w:t>Indikatoren</w:t>
      </w:r>
    </w:p>
    <w:p w:rsidR="00EA38ED" w:rsidRDefault="00EA38ED" w:rsidP="00723E0B">
      <w:pPr>
        <w:rPr>
          <w:rFonts w:ascii="Arial" w:hAnsi="Arial" w:cs="Arial"/>
        </w:rPr>
      </w:pPr>
    </w:p>
    <w:p w:rsidR="00723E0B" w:rsidRDefault="00723E0B" w:rsidP="00723E0B">
      <w:pPr>
        <w:rPr>
          <w:rFonts w:ascii="Arial" w:hAnsi="Arial" w:cs="Arial"/>
        </w:rPr>
      </w:pPr>
      <w:r>
        <w:rPr>
          <w:rFonts w:ascii="Arial" w:hAnsi="Arial" w:cs="Arial"/>
        </w:rPr>
        <w:t>Im Alltag sowie in chemischen Labors muss häufig der pH-Wert von Lösungen bestimmt werden. Z.B. prüfen Aquarienbesitzer das Wasser für ihre Fische und Gärtner den Gartenboden. Eine einfache und preiswerte Methode ist die Benutzung von Universalindikatoren. Es gibt aber zahlreiche andere Indikatorfarbstoffe, die in stark alkalischer Umgebung eine andere Farbe als in stark saurer Lösung besitzen. Diese Farbstoffe sollen im folgenden Versuch untersucht werden.</w:t>
      </w:r>
    </w:p>
    <w:p w:rsidR="00723E0B" w:rsidRDefault="00723E0B" w:rsidP="00723E0B">
      <w:pPr>
        <w:rPr>
          <w:rFonts w:ascii="Arial" w:hAnsi="Arial" w:cs="Arial"/>
        </w:rPr>
      </w:pPr>
    </w:p>
    <w:p w:rsidR="00EA38ED" w:rsidRPr="00EA38ED" w:rsidRDefault="00723E0B" w:rsidP="00723E0B">
      <w:pPr>
        <w:rPr>
          <w:rFonts w:ascii="Arial" w:hAnsi="Arial" w:cs="Arial"/>
          <w:u w:val="single"/>
        </w:rPr>
      </w:pPr>
      <w:r w:rsidRPr="00EA38ED">
        <w:rPr>
          <w:rFonts w:ascii="Arial" w:hAnsi="Arial" w:cs="Arial"/>
          <w:b/>
          <w:u w:val="single"/>
        </w:rPr>
        <w:t>Chemikalien:</w:t>
      </w:r>
      <w:r w:rsidRPr="00EA38ED">
        <w:rPr>
          <w:rFonts w:ascii="Arial" w:hAnsi="Arial" w:cs="Arial"/>
          <w:u w:val="single"/>
        </w:rPr>
        <w:t xml:space="preserve"> </w:t>
      </w:r>
    </w:p>
    <w:p w:rsidR="00723E0B" w:rsidRDefault="00723E0B" w:rsidP="00723E0B">
      <w:pPr>
        <w:rPr>
          <w:rFonts w:ascii="Arial" w:hAnsi="Arial" w:cs="Arial"/>
        </w:rPr>
      </w:pPr>
      <w:r>
        <w:rPr>
          <w:rFonts w:ascii="Arial" w:hAnsi="Arial" w:cs="Arial"/>
        </w:rPr>
        <w:t>Universalindikator, Bromthymolblau, Methylrot, Methylorange, Phenolphthalein, Lackmus, schwarzer Tee, Lösungen mit pH-Wert 1, 4, 7, 10, 13.</w:t>
      </w:r>
    </w:p>
    <w:p w:rsidR="00723E0B" w:rsidRDefault="00723E0B" w:rsidP="00723E0B">
      <w:pPr>
        <w:rPr>
          <w:rFonts w:ascii="Arial" w:hAnsi="Arial" w:cs="Arial"/>
        </w:rPr>
      </w:pPr>
    </w:p>
    <w:p w:rsidR="00EA38ED" w:rsidRPr="00EA38ED" w:rsidRDefault="00723E0B" w:rsidP="00723E0B">
      <w:pPr>
        <w:rPr>
          <w:rFonts w:ascii="Arial" w:hAnsi="Arial" w:cs="Arial"/>
          <w:b/>
          <w:bCs/>
          <w:u w:val="single"/>
        </w:rPr>
      </w:pPr>
      <w:r w:rsidRPr="00EA38ED">
        <w:rPr>
          <w:rFonts w:ascii="Arial" w:hAnsi="Arial" w:cs="Arial"/>
          <w:b/>
          <w:bCs/>
          <w:u w:val="single"/>
        </w:rPr>
        <w:t xml:space="preserve">Geräte: </w:t>
      </w:r>
    </w:p>
    <w:p w:rsidR="00723E0B" w:rsidRDefault="00723E0B" w:rsidP="00723E0B">
      <w:pPr>
        <w:rPr>
          <w:rFonts w:ascii="Arial" w:hAnsi="Arial" w:cs="Arial"/>
          <w:bCs/>
        </w:rPr>
      </w:pPr>
      <w:r>
        <w:rPr>
          <w:rFonts w:ascii="Arial" w:hAnsi="Arial" w:cs="Arial"/>
          <w:bCs/>
        </w:rPr>
        <w:t>7</w:t>
      </w:r>
      <w:r w:rsidRPr="00E25D8D">
        <w:rPr>
          <w:rFonts w:ascii="Arial" w:hAnsi="Arial" w:cs="Arial"/>
          <w:bCs/>
        </w:rPr>
        <w:t xml:space="preserve"> Reagenzgläser, Reagenzglasständer, Tropfpipette</w:t>
      </w:r>
      <w:r>
        <w:rPr>
          <w:rFonts w:ascii="Arial" w:hAnsi="Arial" w:cs="Arial"/>
          <w:bCs/>
        </w:rPr>
        <w:t>n.</w:t>
      </w:r>
    </w:p>
    <w:p w:rsidR="00EA38ED" w:rsidRDefault="00EA38ED" w:rsidP="00EA38ED">
      <w:pPr>
        <w:keepNext/>
        <w:keepLines/>
        <w:widowControl w:val="0"/>
        <w:rPr>
          <w:rFonts w:ascii="Arial" w:hAnsi="Arial" w:cs="Arial"/>
          <w:b/>
          <w:u w:val="single"/>
        </w:rPr>
      </w:pPr>
    </w:p>
    <w:p w:rsidR="00F965FB" w:rsidRDefault="00EA38ED" w:rsidP="00F965FB">
      <w:pPr>
        <w:keepNext/>
        <w:keepLines/>
        <w:widowControl w:val="0"/>
        <w:tabs>
          <w:tab w:val="num" w:pos="364"/>
        </w:tabs>
        <w:rPr>
          <w:rFonts w:ascii="Arial" w:hAnsi="Arial" w:cs="Arial"/>
          <w:b/>
          <w:u w:val="single"/>
        </w:rPr>
      </w:pPr>
      <w:r w:rsidRPr="00EA38ED">
        <w:rPr>
          <w:rFonts w:ascii="Arial" w:hAnsi="Arial" w:cs="Arial"/>
          <w:b/>
          <w:u w:val="single"/>
        </w:rPr>
        <w:t>Durchführung:</w:t>
      </w:r>
    </w:p>
    <w:p w:rsidR="00EA38ED" w:rsidRDefault="00EA38ED" w:rsidP="00F965FB">
      <w:pPr>
        <w:keepNext/>
        <w:keepLines/>
        <w:widowControl w:val="0"/>
        <w:numPr>
          <w:ilvl w:val="0"/>
          <w:numId w:val="4"/>
        </w:numPr>
        <w:tabs>
          <w:tab w:val="clear" w:pos="720"/>
          <w:tab w:val="num" w:pos="364"/>
        </w:tabs>
        <w:spacing w:before="100" w:beforeAutospacing="1" w:after="100" w:afterAutospacing="1"/>
        <w:ind w:left="378"/>
        <w:rPr>
          <w:rFonts w:ascii="Arial" w:eastAsia="Arial Unicode MS" w:hAnsi="Arial" w:cs="Arial"/>
        </w:rPr>
      </w:pPr>
      <w:r>
        <w:rPr>
          <w:rFonts w:ascii="Arial" w:eastAsia="Arial Unicode MS" w:hAnsi="Arial" w:cs="Arial"/>
        </w:rPr>
        <w:t>Fülle</w:t>
      </w:r>
      <w:r w:rsidRPr="00EA38ED">
        <w:rPr>
          <w:rFonts w:ascii="Arial" w:eastAsia="Arial Unicode MS" w:hAnsi="Arial" w:cs="Arial"/>
        </w:rPr>
        <w:t xml:space="preserve"> ca. 2 mL</w:t>
      </w:r>
      <w:r>
        <w:rPr>
          <w:rFonts w:ascii="Arial" w:eastAsia="Arial Unicode MS" w:hAnsi="Arial" w:cs="Arial"/>
        </w:rPr>
        <w:t xml:space="preserve"> </w:t>
      </w:r>
      <w:r w:rsidRPr="00EA38ED">
        <w:rPr>
          <w:rFonts w:ascii="Arial" w:eastAsia="Arial Unicode MS" w:hAnsi="Arial" w:cs="Arial"/>
        </w:rPr>
        <w:t>der verschiedenen Lösungen in je ein Reagenzglas. G</w:t>
      </w:r>
      <w:r>
        <w:rPr>
          <w:rFonts w:ascii="Arial" w:eastAsia="Arial Unicode MS" w:hAnsi="Arial" w:cs="Arial"/>
        </w:rPr>
        <w:t>ebe</w:t>
      </w:r>
      <w:r w:rsidRPr="00EA38ED">
        <w:rPr>
          <w:rFonts w:ascii="Arial" w:eastAsia="Arial Unicode MS" w:hAnsi="Arial" w:cs="Arial"/>
        </w:rPr>
        <w:t xml:space="preserve"> in die Reagenzgläser jeweils einen Tropfen Universalindikator. Notiere die Farben der Lösung</w:t>
      </w:r>
      <w:r w:rsidRPr="00EA38ED">
        <w:rPr>
          <w:rFonts w:ascii="Arial" w:eastAsia="Arial Unicode MS" w:hAnsi="Arial" w:cs="Arial"/>
        </w:rPr>
        <w:t>en in die untenstehende Tabelle.</w:t>
      </w:r>
    </w:p>
    <w:p w:rsidR="00723E0B" w:rsidRPr="00EA38ED" w:rsidRDefault="00EA38ED" w:rsidP="00EA38ED">
      <w:pPr>
        <w:keepNext/>
        <w:keepLines/>
        <w:widowControl w:val="0"/>
        <w:numPr>
          <w:ilvl w:val="0"/>
          <w:numId w:val="4"/>
        </w:numPr>
        <w:tabs>
          <w:tab w:val="clear" w:pos="720"/>
          <w:tab w:val="num" w:pos="364"/>
        </w:tabs>
        <w:spacing w:before="100" w:beforeAutospacing="1" w:after="100" w:afterAutospacing="1"/>
        <w:ind w:left="378"/>
        <w:rPr>
          <w:rFonts w:ascii="Arial" w:eastAsia="Arial Unicode MS" w:hAnsi="Arial" w:cs="Arial"/>
        </w:rPr>
      </w:pPr>
      <w:r>
        <w:rPr>
          <w:rFonts w:ascii="Arial" w:eastAsia="Arial Unicode MS" w:hAnsi="Arial" w:cs="Arial"/>
        </w:rPr>
        <w:t>Wiederhole</w:t>
      </w:r>
      <w:r w:rsidR="00723E0B" w:rsidRPr="00EA38ED">
        <w:rPr>
          <w:rFonts w:ascii="Arial" w:eastAsia="Arial Unicode MS" w:hAnsi="Arial" w:cs="Arial"/>
        </w:rPr>
        <w:t xml:space="preserve"> den Versuch mit allen anderen Indikatoren anstelle des Universalindikators.</w:t>
      </w:r>
    </w:p>
    <w:p w:rsidR="00723E0B" w:rsidRDefault="00723E0B" w:rsidP="00723E0B">
      <w:pPr>
        <w:rPr>
          <w:rFonts w:ascii="Arial" w:eastAsia="Arial Unicode MS" w:hAnsi="Arial" w:cs="Arial"/>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386"/>
        <w:gridCol w:w="1386"/>
        <w:gridCol w:w="1388"/>
        <w:gridCol w:w="1386"/>
        <w:gridCol w:w="1385"/>
      </w:tblGrid>
      <w:tr w:rsidR="00723E0B" w:rsidRPr="00714401" w:rsidTr="00723E0B">
        <w:tc>
          <w:tcPr>
            <w:tcW w:w="1175" w:type="pct"/>
          </w:tcPr>
          <w:p w:rsidR="00723E0B" w:rsidRPr="00714401" w:rsidRDefault="00723E0B" w:rsidP="00723E0B">
            <w:pPr>
              <w:spacing w:line="360" w:lineRule="auto"/>
              <w:jc w:val="center"/>
              <w:rPr>
                <w:rFonts w:ascii="Arial" w:hAnsi="Arial" w:cs="Arial"/>
                <w:b/>
              </w:rPr>
            </w:pPr>
            <w:r w:rsidRPr="00714401">
              <w:rPr>
                <w:rFonts w:ascii="Arial" w:hAnsi="Arial" w:cs="Arial"/>
                <w:b/>
              </w:rPr>
              <w:t>Indikatoren</w:t>
            </w:r>
          </w:p>
        </w:tc>
        <w:tc>
          <w:tcPr>
            <w:tcW w:w="3825" w:type="pct"/>
            <w:gridSpan w:val="5"/>
          </w:tcPr>
          <w:p w:rsidR="00723E0B" w:rsidRPr="00714401" w:rsidRDefault="00723E0B" w:rsidP="00723E0B">
            <w:pPr>
              <w:spacing w:line="360" w:lineRule="auto"/>
              <w:jc w:val="center"/>
              <w:rPr>
                <w:rFonts w:ascii="Arial" w:hAnsi="Arial" w:cs="Arial"/>
                <w:b/>
              </w:rPr>
            </w:pPr>
            <w:r w:rsidRPr="00714401">
              <w:rPr>
                <w:rFonts w:ascii="Arial" w:hAnsi="Arial" w:cs="Arial"/>
                <w:b/>
              </w:rPr>
              <w:t>Farben der Indikatoren bei den verschiedenen pH-Werten</w:t>
            </w:r>
          </w:p>
        </w:tc>
      </w:tr>
      <w:tr w:rsidR="00723E0B" w:rsidRPr="00714401" w:rsidTr="00723E0B">
        <w:tc>
          <w:tcPr>
            <w:tcW w:w="1175" w:type="pct"/>
          </w:tcPr>
          <w:p w:rsidR="00723E0B" w:rsidRPr="00714401" w:rsidRDefault="00723E0B" w:rsidP="00723E0B">
            <w:pPr>
              <w:spacing w:line="360" w:lineRule="auto"/>
              <w:rPr>
                <w:rFonts w:ascii="Arial" w:hAnsi="Arial" w:cs="Arial"/>
              </w:rPr>
            </w:pPr>
            <w:r w:rsidRPr="00714401">
              <w:rPr>
                <w:rFonts w:ascii="Arial" w:hAnsi="Arial" w:cs="Arial"/>
              </w:rPr>
              <w:t>Universalindikator</w:t>
            </w:r>
          </w:p>
        </w:tc>
        <w:tc>
          <w:tcPr>
            <w:tcW w:w="765" w:type="pct"/>
          </w:tcPr>
          <w:p w:rsidR="00723E0B" w:rsidRPr="00714401" w:rsidRDefault="00723E0B" w:rsidP="00723E0B">
            <w:pPr>
              <w:spacing w:line="360" w:lineRule="auto"/>
              <w:rPr>
                <w:rFonts w:ascii="Arial" w:hAnsi="Arial" w:cs="Arial"/>
              </w:rPr>
            </w:pPr>
            <w:r w:rsidRPr="00714401">
              <w:rPr>
                <w:rFonts w:ascii="Arial" w:hAnsi="Arial" w:cs="Arial"/>
              </w:rPr>
              <w:t xml:space="preserve">          </w:t>
            </w: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rPr>
                <w:rFonts w:ascii="Arial" w:hAnsi="Arial" w:cs="Arial"/>
              </w:rPr>
            </w:pPr>
            <w:proofErr w:type="spellStart"/>
            <w:r w:rsidRPr="00714401">
              <w:rPr>
                <w:rFonts w:ascii="Arial" w:hAnsi="Arial" w:cs="Arial"/>
              </w:rPr>
              <w:t>Bromthymolblau</w:t>
            </w:r>
            <w:proofErr w:type="spellEnd"/>
          </w:p>
        </w:tc>
        <w:tc>
          <w:tcPr>
            <w:tcW w:w="765"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rPr>
                <w:rFonts w:ascii="Arial" w:hAnsi="Arial" w:cs="Arial"/>
              </w:rPr>
            </w:pPr>
            <w:r w:rsidRPr="00714401">
              <w:rPr>
                <w:rFonts w:ascii="Arial" w:hAnsi="Arial" w:cs="Arial"/>
              </w:rPr>
              <w:t>Phenolphthalein</w:t>
            </w:r>
          </w:p>
        </w:tc>
        <w:tc>
          <w:tcPr>
            <w:tcW w:w="765"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rPr>
                <w:rFonts w:ascii="Arial" w:hAnsi="Arial" w:cs="Arial"/>
              </w:rPr>
            </w:pPr>
            <w:r w:rsidRPr="00714401">
              <w:rPr>
                <w:rFonts w:ascii="Arial" w:hAnsi="Arial" w:cs="Arial"/>
              </w:rPr>
              <w:t>Lackmus</w:t>
            </w:r>
          </w:p>
        </w:tc>
        <w:tc>
          <w:tcPr>
            <w:tcW w:w="765"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rPr>
                <w:rFonts w:ascii="Arial" w:hAnsi="Arial" w:cs="Arial"/>
              </w:rPr>
            </w:pPr>
            <w:r>
              <w:rPr>
                <w:rFonts w:ascii="Arial" w:hAnsi="Arial" w:cs="Arial"/>
              </w:rPr>
              <w:t>Rotkohlsaft</w:t>
            </w:r>
          </w:p>
        </w:tc>
        <w:tc>
          <w:tcPr>
            <w:tcW w:w="765"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rPr>
                <w:rFonts w:ascii="Arial" w:hAnsi="Arial" w:cs="Arial"/>
              </w:rPr>
            </w:pPr>
            <w:r w:rsidRPr="00714401">
              <w:rPr>
                <w:rFonts w:ascii="Arial" w:hAnsi="Arial" w:cs="Arial"/>
              </w:rPr>
              <w:t>Schwarztee</w:t>
            </w:r>
          </w:p>
        </w:tc>
        <w:tc>
          <w:tcPr>
            <w:tcW w:w="765"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6" w:type="pct"/>
          </w:tcPr>
          <w:p w:rsidR="00723E0B" w:rsidRPr="00714401" w:rsidRDefault="00723E0B" w:rsidP="00723E0B">
            <w:pPr>
              <w:spacing w:line="360" w:lineRule="auto"/>
              <w:rPr>
                <w:rFonts w:ascii="Arial" w:hAnsi="Arial" w:cs="Arial"/>
              </w:rPr>
            </w:pPr>
          </w:p>
        </w:tc>
        <w:tc>
          <w:tcPr>
            <w:tcW w:w="765" w:type="pct"/>
          </w:tcPr>
          <w:p w:rsidR="00723E0B" w:rsidRPr="00714401" w:rsidRDefault="00723E0B" w:rsidP="00723E0B">
            <w:pPr>
              <w:spacing w:line="360" w:lineRule="auto"/>
              <w:rPr>
                <w:rFonts w:ascii="Arial" w:hAnsi="Arial" w:cs="Arial"/>
              </w:rPr>
            </w:pPr>
          </w:p>
        </w:tc>
        <w:tc>
          <w:tcPr>
            <w:tcW w:w="764" w:type="pct"/>
          </w:tcPr>
          <w:p w:rsidR="00723E0B" w:rsidRPr="00714401" w:rsidRDefault="00723E0B" w:rsidP="00723E0B">
            <w:pPr>
              <w:spacing w:line="360" w:lineRule="auto"/>
              <w:rPr>
                <w:rFonts w:ascii="Arial" w:hAnsi="Arial" w:cs="Arial"/>
              </w:rPr>
            </w:pPr>
          </w:p>
        </w:tc>
      </w:tr>
      <w:tr w:rsidR="00723E0B" w:rsidRPr="00714401" w:rsidTr="00723E0B">
        <w:tc>
          <w:tcPr>
            <w:tcW w:w="1175" w:type="pct"/>
          </w:tcPr>
          <w:p w:rsidR="00723E0B" w:rsidRPr="00714401" w:rsidRDefault="00723E0B" w:rsidP="00723E0B">
            <w:pPr>
              <w:spacing w:line="360" w:lineRule="auto"/>
              <w:jc w:val="center"/>
              <w:rPr>
                <w:rFonts w:ascii="Arial" w:hAnsi="Arial" w:cs="Arial"/>
                <w:b/>
              </w:rPr>
            </w:pPr>
            <w:r w:rsidRPr="00714401">
              <w:rPr>
                <w:rFonts w:ascii="Arial" w:hAnsi="Arial" w:cs="Arial"/>
                <w:b/>
              </w:rPr>
              <w:t>pH-Werte</w:t>
            </w:r>
          </w:p>
        </w:tc>
        <w:tc>
          <w:tcPr>
            <w:tcW w:w="765" w:type="pct"/>
          </w:tcPr>
          <w:p w:rsidR="00723E0B" w:rsidRPr="00714401" w:rsidRDefault="00723E0B" w:rsidP="00723E0B">
            <w:pPr>
              <w:spacing w:line="360" w:lineRule="auto"/>
              <w:jc w:val="center"/>
              <w:rPr>
                <w:rFonts w:ascii="Arial" w:hAnsi="Arial" w:cs="Arial"/>
                <w:b/>
              </w:rPr>
            </w:pPr>
            <w:r w:rsidRPr="00714401">
              <w:rPr>
                <w:rFonts w:ascii="Arial" w:hAnsi="Arial" w:cs="Arial"/>
                <w:b/>
              </w:rPr>
              <w:t>1</w:t>
            </w:r>
          </w:p>
        </w:tc>
        <w:tc>
          <w:tcPr>
            <w:tcW w:w="765" w:type="pct"/>
          </w:tcPr>
          <w:p w:rsidR="00723E0B" w:rsidRPr="00714401" w:rsidRDefault="00723E0B" w:rsidP="00723E0B">
            <w:pPr>
              <w:spacing w:line="360" w:lineRule="auto"/>
              <w:jc w:val="center"/>
              <w:rPr>
                <w:rFonts w:ascii="Arial" w:hAnsi="Arial" w:cs="Arial"/>
                <w:b/>
              </w:rPr>
            </w:pPr>
            <w:r w:rsidRPr="00714401">
              <w:rPr>
                <w:rFonts w:ascii="Arial" w:hAnsi="Arial" w:cs="Arial"/>
                <w:b/>
              </w:rPr>
              <w:t>4</w:t>
            </w:r>
          </w:p>
        </w:tc>
        <w:tc>
          <w:tcPr>
            <w:tcW w:w="766" w:type="pct"/>
          </w:tcPr>
          <w:p w:rsidR="00723E0B" w:rsidRPr="00714401" w:rsidRDefault="00723E0B" w:rsidP="00723E0B">
            <w:pPr>
              <w:spacing w:line="360" w:lineRule="auto"/>
              <w:jc w:val="center"/>
              <w:rPr>
                <w:rFonts w:ascii="Arial" w:hAnsi="Arial" w:cs="Arial"/>
                <w:b/>
              </w:rPr>
            </w:pPr>
            <w:r w:rsidRPr="00714401">
              <w:rPr>
                <w:rFonts w:ascii="Arial" w:hAnsi="Arial" w:cs="Arial"/>
                <w:b/>
              </w:rPr>
              <w:t>7</w:t>
            </w:r>
          </w:p>
        </w:tc>
        <w:tc>
          <w:tcPr>
            <w:tcW w:w="765" w:type="pct"/>
          </w:tcPr>
          <w:p w:rsidR="00723E0B" w:rsidRPr="00714401" w:rsidRDefault="00723E0B" w:rsidP="00723E0B">
            <w:pPr>
              <w:spacing w:line="360" w:lineRule="auto"/>
              <w:jc w:val="center"/>
              <w:rPr>
                <w:rFonts w:ascii="Arial" w:hAnsi="Arial" w:cs="Arial"/>
                <w:b/>
              </w:rPr>
            </w:pPr>
            <w:r w:rsidRPr="00714401">
              <w:rPr>
                <w:rFonts w:ascii="Arial" w:hAnsi="Arial" w:cs="Arial"/>
                <w:b/>
              </w:rPr>
              <w:t>10</w:t>
            </w:r>
          </w:p>
        </w:tc>
        <w:tc>
          <w:tcPr>
            <w:tcW w:w="764" w:type="pct"/>
          </w:tcPr>
          <w:p w:rsidR="00723E0B" w:rsidRPr="00714401" w:rsidRDefault="00723E0B" w:rsidP="00723E0B">
            <w:pPr>
              <w:spacing w:line="360" w:lineRule="auto"/>
              <w:jc w:val="center"/>
              <w:rPr>
                <w:rFonts w:ascii="Arial" w:hAnsi="Arial" w:cs="Arial"/>
                <w:b/>
              </w:rPr>
            </w:pPr>
            <w:r w:rsidRPr="00714401">
              <w:rPr>
                <w:rFonts w:ascii="Arial" w:hAnsi="Arial" w:cs="Arial"/>
                <w:b/>
              </w:rPr>
              <w:t>13</w:t>
            </w:r>
          </w:p>
        </w:tc>
      </w:tr>
    </w:tbl>
    <w:p w:rsidR="00723E0B" w:rsidRDefault="00723E0B" w:rsidP="00723E0B">
      <w:pPr>
        <w:rPr>
          <w:rFonts w:ascii="Arial" w:hAnsi="Arial" w:cs="Arial"/>
          <w:sz w:val="28"/>
          <w:szCs w:val="28"/>
        </w:rPr>
      </w:pPr>
    </w:p>
    <w:p w:rsidR="00EA38ED" w:rsidRPr="00EA38ED" w:rsidRDefault="00EA38ED" w:rsidP="00EA38ED">
      <w:pPr>
        <w:keepNext/>
        <w:keepLines/>
        <w:widowControl w:val="0"/>
        <w:rPr>
          <w:rFonts w:ascii="Arial" w:hAnsi="Arial" w:cs="Arial"/>
          <w:b/>
          <w:u w:val="single"/>
        </w:rPr>
      </w:pPr>
      <w:r>
        <w:rPr>
          <w:rFonts w:ascii="Arial" w:hAnsi="Arial" w:cs="Arial"/>
          <w:b/>
          <w:u w:val="single"/>
        </w:rPr>
        <w:t>Aufgaben</w:t>
      </w:r>
      <w:r w:rsidRPr="00EA38ED">
        <w:rPr>
          <w:rFonts w:ascii="Arial" w:hAnsi="Arial" w:cs="Arial"/>
          <w:b/>
          <w:u w:val="single"/>
        </w:rPr>
        <w:t>:</w:t>
      </w:r>
    </w:p>
    <w:p w:rsidR="00EA38ED" w:rsidRDefault="00EA38ED" w:rsidP="00723E0B">
      <w:pPr>
        <w:rPr>
          <w:rFonts w:ascii="Arial" w:hAnsi="Arial" w:cs="Arial"/>
          <w:sz w:val="28"/>
          <w:szCs w:val="28"/>
        </w:rPr>
      </w:pPr>
    </w:p>
    <w:p w:rsidR="00EA38ED" w:rsidRPr="00EA38ED" w:rsidRDefault="00EA38ED" w:rsidP="00F965FB">
      <w:pPr>
        <w:keepNext/>
        <w:keepLines/>
        <w:widowControl w:val="0"/>
        <w:numPr>
          <w:ilvl w:val="0"/>
          <w:numId w:val="6"/>
        </w:numPr>
        <w:tabs>
          <w:tab w:val="clear" w:pos="720"/>
          <w:tab w:val="num" w:pos="426"/>
        </w:tabs>
        <w:ind w:left="426"/>
        <w:rPr>
          <w:rFonts w:ascii="Arial" w:hAnsi="Arial" w:cs="Arial"/>
        </w:rPr>
      </w:pPr>
      <w:r w:rsidRPr="00EA38ED">
        <w:rPr>
          <w:rFonts w:ascii="Arial" w:hAnsi="Arial" w:cs="Arial"/>
        </w:rPr>
        <w:t>Welche Vorteile bietet der Universalindikator im Vergleich zu den anderen pH-Indikatoren?</w:t>
      </w:r>
    </w:p>
    <w:p w:rsidR="00723E0B" w:rsidRPr="00EA38ED" w:rsidRDefault="00723E0B" w:rsidP="00F965FB">
      <w:pPr>
        <w:keepNext/>
        <w:keepLines/>
        <w:widowControl w:val="0"/>
        <w:numPr>
          <w:ilvl w:val="0"/>
          <w:numId w:val="6"/>
        </w:numPr>
        <w:tabs>
          <w:tab w:val="clear" w:pos="720"/>
          <w:tab w:val="num" w:pos="426"/>
        </w:tabs>
        <w:ind w:left="426"/>
        <w:rPr>
          <w:rFonts w:ascii="Arial" w:hAnsi="Arial" w:cs="Arial"/>
        </w:rPr>
      </w:pPr>
      <w:bookmarkStart w:id="0" w:name="_GoBack"/>
      <w:bookmarkEnd w:id="0"/>
      <w:r w:rsidRPr="00EA38ED">
        <w:rPr>
          <w:rFonts w:ascii="Arial" w:eastAsia="Arial Unicode MS" w:hAnsi="Arial" w:cs="Arial"/>
        </w:rPr>
        <w:t xml:space="preserve">Der </w:t>
      </w:r>
      <w:r w:rsidRPr="00EA38ED">
        <w:rPr>
          <w:rFonts w:ascii="Arial" w:hAnsi="Arial" w:cs="Arial"/>
        </w:rPr>
        <w:t>Universalindikator</w:t>
      </w:r>
      <w:r w:rsidRPr="00EA38ED">
        <w:rPr>
          <w:rFonts w:ascii="Arial" w:eastAsia="Arial Unicode MS" w:hAnsi="Arial" w:cs="Arial"/>
        </w:rPr>
        <w:t xml:space="preserve"> ist ein Gemisch aus </w:t>
      </w:r>
      <w:proofErr w:type="spellStart"/>
      <w:r w:rsidRPr="00EA38ED">
        <w:rPr>
          <w:rFonts w:ascii="Arial" w:eastAsia="Arial Unicode MS" w:hAnsi="Arial" w:cs="Arial"/>
        </w:rPr>
        <w:t>Bromthymolblau</w:t>
      </w:r>
      <w:proofErr w:type="spellEnd"/>
      <w:r w:rsidRPr="00EA38ED">
        <w:rPr>
          <w:rFonts w:ascii="Arial" w:eastAsia="Arial Unicode MS" w:hAnsi="Arial" w:cs="Arial"/>
        </w:rPr>
        <w:t xml:space="preserve">, </w:t>
      </w:r>
      <w:proofErr w:type="spellStart"/>
      <w:r w:rsidRPr="00EA38ED">
        <w:rPr>
          <w:rFonts w:ascii="Arial" w:eastAsia="Arial Unicode MS" w:hAnsi="Arial" w:cs="Arial"/>
        </w:rPr>
        <w:t>Thymolblau</w:t>
      </w:r>
      <w:proofErr w:type="spellEnd"/>
      <w:r w:rsidRPr="00EA38ED">
        <w:rPr>
          <w:rFonts w:ascii="Arial" w:eastAsia="Arial Unicode MS" w:hAnsi="Arial" w:cs="Arial"/>
        </w:rPr>
        <w:t>, Methylrot und Phenolphthalein. Wie</w:t>
      </w:r>
      <w:r w:rsidR="00AF0D12">
        <w:rPr>
          <w:rFonts w:ascii="Arial" w:eastAsia="Arial Unicode MS" w:hAnsi="Arial" w:cs="Arial"/>
        </w:rPr>
        <w:t xml:space="preserve"> kannst du</w:t>
      </w:r>
      <w:r w:rsidRPr="00EA38ED">
        <w:rPr>
          <w:rFonts w:ascii="Arial" w:eastAsia="Arial Unicode MS" w:hAnsi="Arial" w:cs="Arial"/>
        </w:rPr>
        <w:t xml:space="preserve"> die Farben des Universalindikators bei den verschiedenen pH-W</w:t>
      </w:r>
      <w:r w:rsidR="00AF0D12">
        <w:rPr>
          <w:rFonts w:ascii="Arial" w:eastAsia="Arial Unicode MS" w:hAnsi="Arial" w:cs="Arial"/>
        </w:rPr>
        <w:t>erten erklären? (Berücksichtige</w:t>
      </w:r>
      <w:r w:rsidRPr="00EA38ED">
        <w:rPr>
          <w:rFonts w:ascii="Arial" w:eastAsia="Arial Unicode MS" w:hAnsi="Arial" w:cs="Arial"/>
        </w:rPr>
        <w:t xml:space="preserve"> </w:t>
      </w:r>
      <w:r w:rsidR="00AF0D12">
        <w:rPr>
          <w:rFonts w:ascii="Arial" w:eastAsia="Arial Unicode MS" w:hAnsi="Arial" w:cs="Arial"/>
        </w:rPr>
        <w:t>dabei</w:t>
      </w:r>
      <w:r w:rsidRPr="00EA38ED">
        <w:rPr>
          <w:rFonts w:ascii="Arial" w:eastAsia="Arial Unicode MS" w:hAnsi="Arial" w:cs="Arial"/>
        </w:rPr>
        <w:t>, dass die dunkleren Farben die helleren überdecken).</w:t>
      </w:r>
    </w:p>
    <w:p w:rsidR="00723E0B" w:rsidRDefault="00723E0B" w:rsidP="00654101">
      <w:pPr>
        <w:rPr>
          <w:rFonts w:ascii="Arial" w:hAnsi="Arial" w:cs="Arial"/>
          <w:b/>
          <w:u w:val="single"/>
        </w:rPr>
      </w:pPr>
    </w:p>
    <w:p w:rsidR="00C27379" w:rsidRPr="00723E0B" w:rsidRDefault="00723E0B" w:rsidP="00654101">
      <w:pPr>
        <w:rPr>
          <w:rFonts w:ascii="Arial" w:hAnsi="Arial" w:cs="Arial"/>
          <w:b/>
          <w:u w:val="single"/>
        </w:rPr>
      </w:pPr>
      <w:r>
        <w:rPr>
          <w:rFonts w:ascii="Arial" w:hAnsi="Arial" w:cs="Arial"/>
          <w:b/>
          <w:u w:val="single"/>
        </w:rPr>
        <w:br w:type="page"/>
      </w:r>
      <w:r w:rsidR="00714401" w:rsidRPr="00723E0B">
        <w:rPr>
          <w:rFonts w:ascii="Arial" w:hAnsi="Arial" w:cs="Arial"/>
          <w:b/>
          <w:u w:val="single"/>
        </w:rPr>
        <w:lastRenderedPageBreak/>
        <w:t>Vorbereiten:</w:t>
      </w:r>
    </w:p>
    <w:p w:rsidR="00714401" w:rsidRPr="00723E0B" w:rsidRDefault="00714401" w:rsidP="00654101">
      <w:pPr>
        <w:rPr>
          <w:rFonts w:ascii="Arial" w:hAnsi="Arial" w:cs="Arial"/>
        </w:rPr>
      </w:pPr>
    </w:p>
    <w:p w:rsidR="00714401" w:rsidRPr="00723E0B" w:rsidRDefault="00714401" w:rsidP="00714401">
      <w:pPr>
        <w:numPr>
          <w:ilvl w:val="0"/>
          <w:numId w:val="5"/>
        </w:numPr>
        <w:rPr>
          <w:rFonts w:ascii="Arial" w:hAnsi="Arial" w:cs="Arial"/>
        </w:rPr>
      </w:pPr>
      <w:r w:rsidRPr="00723E0B">
        <w:rPr>
          <w:rFonts w:ascii="Arial" w:hAnsi="Arial" w:cs="Arial"/>
        </w:rPr>
        <w:t xml:space="preserve">Indikatoren </w:t>
      </w:r>
    </w:p>
    <w:p w:rsidR="00714401" w:rsidRPr="00723E0B" w:rsidRDefault="00714401" w:rsidP="00714401">
      <w:pPr>
        <w:numPr>
          <w:ilvl w:val="0"/>
          <w:numId w:val="5"/>
        </w:numPr>
        <w:rPr>
          <w:rFonts w:ascii="Arial" w:hAnsi="Arial" w:cs="Arial"/>
        </w:rPr>
      </w:pPr>
      <w:r w:rsidRPr="00723E0B">
        <w:rPr>
          <w:rFonts w:ascii="Arial" w:hAnsi="Arial" w:cs="Arial"/>
        </w:rPr>
        <w:t xml:space="preserve">Schwarztee </w:t>
      </w:r>
      <w:r w:rsidR="00723E0B">
        <w:rPr>
          <w:rFonts w:ascii="Arial" w:hAnsi="Arial" w:cs="Arial"/>
        </w:rPr>
        <w:t>kochen</w:t>
      </w:r>
    </w:p>
    <w:p w:rsidR="00714401" w:rsidRPr="00723E0B" w:rsidRDefault="00714401" w:rsidP="00714401">
      <w:pPr>
        <w:numPr>
          <w:ilvl w:val="0"/>
          <w:numId w:val="5"/>
        </w:numPr>
        <w:rPr>
          <w:rFonts w:ascii="Arial" w:hAnsi="Arial" w:cs="Arial"/>
        </w:rPr>
      </w:pPr>
      <w:r w:rsidRPr="00723E0B">
        <w:rPr>
          <w:rFonts w:ascii="Arial" w:hAnsi="Arial" w:cs="Arial"/>
        </w:rPr>
        <w:t xml:space="preserve">Puffer pH 4, pH 7, pH 10 </w:t>
      </w:r>
    </w:p>
    <w:p w:rsidR="00714401" w:rsidRPr="00723E0B" w:rsidRDefault="00714401" w:rsidP="00714401">
      <w:pPr>
        <w:numPr>
          <w:ilvl w:val="0"/>
          <w:numId w:val="5"/>
        </w:numPr>
        <w:rPr>
          <w:rFonts w:ascii="Arial" w:hAnsi="Arial" w:cs="Arial"/>
        </w:rPr>
      </w:pPr>
      <w:r w:rsidRPr="00723E0B">
        <w:rPr>
          <w:rFonts w:ascii="Arial" w:hAnsi="Arial" w:cs="Arial"/>
        </w:rPr>
        <w:t>HCl mit pH1 herstellen</w:t>
      </w:r>
    </w:p>
    <w:p w:rsidR="00714401" w:rsidRPr="00723E0B" w:rsidRDefault="00714401" w:rsidP="00714401">
      <w:pPr>
        <w:numPr>
          <w:ilvl w:val="0"/>
          <w:numId w:val="5"/>
        </w:numPr>
        <w:rPr>
          <w:rFonts w:ascii="Arial" w:hAnsi="Arial" w:cs="Arial"/>
        </w:rPr>
      </w:pPr>
      <w:r w:rsidRPr="00723E0B">
        <w:rPr>
          <w:rFonts w:ascii="Arial" w:hAnsi="Arial" w:cs="Arial"/>
        </w:rPr>
        <w:t>NaOH mit pH 13 herstellen</w:t>
      </w:r>
    </w:p>
    <w:p w:rsidR="00D54DB3" w:rsidRPr="00723E0B" w:rsidRDefault="00D54DB3" w:rsidP="00723E0B">
      <w:pPr>
        <w:ind w:left="720"/>
        <w:rPr>
          <w:rFonts w:ascii="Arial" w:hAnsi="Arial" w:cs="Arial"/>
        </w:rPr>
      </w:pPr>
    </w:p>
    <w:sectPr w:rsidR="00D54DB3" w:rsidRPr="00723E0B" w:rsidSect="00723E0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054"/>
    <w:multiLevelType w:val="hybridMultilevel"/>
    <w:tmpl w:val="BD5E6EF2"/>
    <w:lvl w:ilvl="0" w:tplc="A364A1B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9F235C9"/>
    <w:multiLevelType w:val="hybridMultilevel"/>
    <w:tmpl w:val="F9D865DA"/>
    <w:lvl w:ilvl="0" w:tplc="439C0DF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B722128"/>
    <w:multiLevelType w:val="hybridMultilevel"/>
    <w:tmpl w:val="BD5E6EF2"/>
    <w:lvl w:ilvl="0" w:tplc="A364A1B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5FE3AB7"/>
    <w:multiLevelType w:val="hybridMultilevel"/>
    <w:tmpl w:val="7F626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2877467"/>
    <w:multiLevelType w:val="hybridMultilevel"/>
    <w:tmpl w:val="979A6666"/>
    <w:lvl w:ilvl="0" w:tplc="A364A1B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58766808"/>
    <w:multiLevelType w:val="hybridMultilevel"/>
    <w:tmpl w:val="B3741E04"/>
    <w:lvl w:ilvl="0" w:tplc="B5F2BA60">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CF4"/>
    <w:rsid w:val="00084CF4"/>
    <w:rsid w:val="000E2634"/>
    <w:rsid w:val="001A0D18"/>
    <w:rsid w:val="0037534F"/>
    <w:rsid w:val="00561337"/>
    <w:rsid w:val="00627225"/>
    <w:rsid w:val="00654101"/>
    <w:rsid w:val="006549AE"/>
    <w:rsid w:val="00706C0E"/>
    <w:rsid w:val="0070750A"/>
    <w:rsid w:val="00714401"/>
    <w:rsid w:val="00723E0B"/>
    <w:rsid w:val="007B72A6"/>
    <w:rsid w:val="007E086C"/>
    <w:rsid w:val="008545DC"/>
    <w:rsid w:val="00857B78"/>
    <w:rsid w:val="008829F1"/>
    <w:rsid w:val="00974A74"/>
    <w:rsid w:val="009A01D5"/>
    <w:rsid w:val="009B2185"/>
    <w:rsid w:val="009B4D17"/>
    <w:rsid w:val="009F3400"/>
    <w:rsid w:val="00AF0C2F"/>
    <w:rsid w:val="00AF0D12"/>
    <w:rsid w:val="00B34AD6"/>
    <w:rsid w:val="00BE0ECF"/>
    <w:rsid w:val="00BF3CF4"/>
    <w:rsid w:val="00C27379"/>
    <w:rsid w:val="00CA2323"/>
    <w:rsid w:val="00CC30A5"/>
    <w:rsid w:val="00CF37D9"/>
    <w:rsid w:val="00D368F9"/>
    <w:rsid w:val="00D54DB3"/>
    <w:rsid w:val="00D57F21"/>
    <w:rsid w:val="00E8690B"/>
    <w:rsid w:val="00EA38ED"/>
    <w:rsid w:val="00F106D1"/>
    <w:rsid w:val="00F81ACC"/>
    <w:rsid w:val="00F96403"/>
    <w:rsid w:val="00F96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7F21"/>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Web">
    <w:name w:val="Normal (Web)"/>
    <w:basedOn w:val="Standard"/>
    <w:rsid w:val="00D57F21"/>
    <w:pPr>
      <w:spacing w:before="100" w:beforeAutospacing="1" w:after="100" w:afterAutospacing="1"/>
    </w:pPr>
  </w:style>
  <w:style w:type="table" w:styleId="Tabellenraster">
    <w:name w:val="Table Grid"/>
    <w:basedOn w:val="NormaleTabelle"/>
    <w:rsid w:val="00CA2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1468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MSS –</vt:lpstr>
      <vt:lpstr>MSS –</vt:lpstr>
    </vt:vector>
  </TitlesOfParts>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 –</dc:title>
  <dc:creator>Elisabetta</dc:creator>
  <cp:lastModifiedBy>test</cp:lastModifiedBy>
  <cp:revision>5</cp:revision>
  <cp:lastPrinted>2013-04-11T12:06:00Z</cp:lastPrinted>
  <dcterms:created xsi:type="dcterms:W3CDTF">2013-04-11T11:55:00Z</dcterms:created>
  <dcterms:modified xsi:type="dcterms:W3CDTF">2013-04-11T12:06:00Z</dcterms:modified>
</cp:coreProperties>
</file>