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7"/>
        <w:gridCol w:w="567"/>
      </w:tblGrid>
      <w:tr w:rsidR="00BC5E70" w:rsidRPr="00BC5E70" w:rsidTr="00DF3B41">
        <w:trPr>
          <w:trHeight w:hRule="exact" w:val="1144"/>
        </w:trPr>
        <w:tc>
          <w:tcPr>
            <w:tcW w:w="9747" w:type="dxa"/>
            <w:vAlign w:val="center"/>
          </w:tcPr>
          <w:p w:rsidR="00094C7A" w:rsidRDefault="00DF3B41" w:rsidP="00BC5E70">
            <w:pPr>
              <w:spacing w:line="276" w:lineRule="auto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Üben mit Experimenten - Verschiedene Übungsformate</w:t>
            </w:r>
            <w:r w:rsidR="001C46A7" w:rsidRPr="001C46A7">
              <w:rPr>
                <w:b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28"/>
            </w:tblGrid>
            <w:tr w:rsidR="00DF3B41">
              <w:trPr>
                <w:trHeight w:val="244"/>
              </w:trPr>
              <w:tc>
                <w:tcPr>
                  <w:tcW w:w="0" w:type="auto"/>
                </w:tcPr>
                <w:p w:rsidR="00DF3B41" w:rsidRDefault="00DF3B41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proofErr w:type="spellStart"/>
                  <w:r w:rsidRPr="00DF3B41">
                    <w:rPr>
                      <w:b/>
                      <w:bCs/>
                      <w:sz w:val="28"/>
                      <w:szCs w:val="28"/>
                    </w:rPr>
                    <w:t>Exp</w:t>
                  </w:r>
                  <w:proofErr w:type="spellEnd"/>
                  <w:r w:rsidRPr="00DF3B41">
                    <w:rPr>
                      <w:b/>
                      <w:bCs/>
                      <w:sz w:val="28"/>
                      <w:szCs w:val="28"/>
                    </w:rPr>
                    <w:t xml:space="preserve">.: </w:t>
                  </w:r>
                  <w:r w:rsidRPr="00DF3B41">
                    <w:rPr>
                      <w:sz w:val="28"/>
                      <w:szCs w:val="28"/>
                    </w:rPr>
                    <w:t xml:space="preserve">Nachweisreaktionen </w:t>
                  </w:r>
                  <w:r>
                    <w:rPr>
                      <w:sz w:val="28"/>
                      <w:szCs w:val="28"/>
                    </w:rPr>
                    <w:t xml:space="preserve">für saure und alkalische Lösungen / </w:t>
                  </w:r>
                  <w:r w:rsidRPr="00DF3B41">
                    <w:rPr>
                      <w:sz w:val="28"/>
                      <w:szCs w:val="28"/>
                    </w:rPr>
                    <w:t>Indikatorfarbstoffe</w:t>
                  </w:r>
                </w:p>
                <w:p w:rsidR="00DF3B41" w:rsidRDefault="00DF3B41" w:rsidP="00DF3B4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</w:t>
                  </w:r>
                  <w:r w:rsidRPr="00DF3B41">
                    <w:rPr>
                      <w:sz w:val="28"/>
                      <w:szCs w:val="28"/>
                    </w:rPr>
                    <w:t xml:space="preserve"> Einüben der Nachweisreaktionen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DF3B41">
              <w:trPr>
                <w:trHeight w:val="244"/>
              </w:trPr>
              <w:tc>
                <w:tcPr>
                  <w:tcW w:w="0" w:type="auto"/>
                </w:tcPr>
                <w:p w:rsidR="00DF3B41" w:rsidRDefault="00DF3B41">
                  <w:pPr>
                    <w:pStyle w:val="Default"/>
                  </w:pPr>
                  <w:r>
                    <w:t xml:space="preserve">  </w:t>
                  </w:r>
                </w:p>
              </w:tc>
            </w:tr>
          </w:tbl>
          <w:p w:rsidR="00DF3B41" w:rsidRDefault="00DF3B41" w:rsidP="00BC5E7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DF3B41" w:rsidRPr="001C46A7" w:rsidRDefault="00DF3B41" w:rsidP="00BC5E7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BC5E70" w:rsidRPr="00BC5E70" w:rsidRDefault="001C46A7" w:rsidP="00BC5E70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Ü1</w:t>
            </w:r>
          </w:p>
        </w:tc>
      </w:tr>
    </w:tbl>
    <w:p w:rsidR="00207CA6" w:rsidRDefault="00207CA6" w:rsidP="00351753"/>
    <w:p w:rsidR="00094C7A" w:rsidRPr="00C75BA1" w:rsidRDefault="00C75BA1" w:rsidP="00351753">
      <w:pPr>
        <w:rPr>
          <w:sz w:val="24"/>
          <w:szCs w:val="24"/>
        </w:rPr>
      </w:pPr>
      <w:r w:rsidRPr="00C75BA1">
        <w:rPr>
          <w:sz w:val="24"/>
          <w:szCs w:val="24"/>
        </w:rPr>
        <w:t xml:space="preserve">Den Schülern sollten </w:t>
      </w:r>
      <w:r w:rsidR="00E865FA">
        <w:rPr>
          <w:sz w:val="24"/>
          <w:szCs w:val="24"/>
        </w:rPr>
        <w:t xml:space="preserve">neben einfachen Pflanzenfarbstoffen </w:t>
      </w:r>
      <w:r w:rsidRPr="00C75BA1">
        <w:rPr>
          <w:sz w:val="24"/>
          <w:szCs w:val="24"/>
        </w:rPr>
        <w:t>folgende Säure-Base-Indikatoren bekannt sein:</w:t>
      </w:r>
    </w:p>
    <w:p w:rsidR="00C75BA1" w:rsidRPr="00E865FA" w:rsidRDefault="00C75BA1" w:rsidP="00E865FA">
      <w:pPr>
        <w:pStyle w:val="Listenabsatz"/>
        <w:numPr>
          <w:ilvl w:val="0"/>
          <w:numId w:val="2"/>
        </w:numPr>
        <w:rPr>
          <w:sz w:val="24"/>
          <w:szCs w:val="24"/>
        </w:rPr>
      </w:pPr>
      <w:proofErr w:type="spellStart"/>
      <w:r w:rsidRPr="00E865FA">
        <w:rPr>
          <w:sz w:val="24"/>
          <w:szCs w:val="24"/>
        </w:rPr>
        <w:t>Bromthymolblau</w:t>
      </w:r>
      <w:proofErr w:type="spellEnd"/>
      <w:r w:rsidR="00AA56AD">
        <w:rPr>
          <w:sz w:val="24"/>
          <w:szCs w:val="24"/>
        </w:rPr>
        <w:t xml:space="preserve">-Lösung (0,1g in 100 </w:t>
      </w:r>
      <w:proofErr w:type="spellStart"/>
      <w:r w:rsidR="00AA56AD">
        <w:rPr>
          <w:sz w:val="24"/>
          <w:szCs w:val="24"/>
        </w:rPr>
        <w:t>mL</w:t>
      </w:r>
      <w:proofErr w:type="spellEnd"/>
      <w:r w:rsidR="00AA56AD">
        <w:rPr>
          <w:sz w:val="24"/>
          <w:szCs w:val="24"/>
        </w:rPr>
        <w:t xml:space="preserve"> 20%igem Ethanol) </w:t>
      </w:r>
    </w:p>
    <w:p w:rsidR="00C75BA1" w:rsidRPr="00E865FA" w:rsidRDefault="00C75BA1" w:rsidP="00E865FA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E865FA">
        <w:rPr>
          <w:sz w:val="24"/>
          <w:szCs w:val="24"/>
        </w:rPr>
        <w:t>Methylrot</w:t>
      </w:r>
      <w:r w:rsidR="00AA56AD">
        <w:rPr>
          <w:sz w:val="24"/>
          <w:szCs w:val="24"/>
        </w:rPr>
        <w:t xml:space="preserve">-Lösung (0,1 g in 100 </w:t>
      </w:r>
      <w:proofErr w:type="spellStart"/>
      <w:r w:rsidR="00AA56AD">
        <w:rPr>
          <w:sz w:val="24"/>
          <w:szCs w:val="24"/>
        </w:rPr>
        <w:t>mL</w:t>
      </w:r>
      <w:proofErr w:type="spellEnd"/>
      <w:r w:rsidR="00AA56AD">
        <w:rPr>
          <w:sz w:val="24"/>
          <w:szCs w:val="24"/>
        </w:rPr>
        <w:t xml:space="preserve"> 90%igem Ethanol)</w:t>
      </w:r>
    </w:p>
    <w:p w:rsidR="00C75BA1" w:rsidRPr="00E865FA" w:rsidRDefault="00C75BA1" w:rsidP="00E865FA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E865FA">
        <w:rPr>
          <w:sz w:val="24"/>
          <w:szCs w:val="24"/>
        </w:rPr>
        <w:t>Phenolphthalein</w:t>
      </w:r>
      <w:r w:rsidR="00AA56AD">
        <w:rPr>
          <w:sz w:val="24"/>
          <w:szCs w:val="24"/>
        </w:rPr>
        <w:t>-Lösung</w:t>
      </w:r>
      <w:r w:rsidRPr="00E865FA">
        <w:rPr>
          <w:sz w:val="24"/>
          <w:szCs w:val="24"/>
        </w:rPr>
        <w:t>*</w:t>
      </w:r>
    </w:p>
    <w:p w:rsidR="00C75BA1" w:rsidRPr="00E865FA" w:rsidRDefault="00C75BA1" w:rsidP="00E865FA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E865FA">
        <w:rPr>
          <w:sz w:val="24"/>
          <w:szCs w:val="24"/>
        </w:rPr>
        <w:t>Universalindikator (</w:t>
      </w:r>
      <w:r w:rsidR="00AA56AD">
        <w:rPr>
          <w:sz w:val="24"/>
          <w:szCs w:val="24"/>
        </w:rPr>
        <w:t xml:space="preserve">handelsübliches </w:t>
      </w:r>
      <w:r w:rsidR="00A56B39">
        <w:rPr>
          <w:sz w:val="24"/>
          <w:szCs w:val="24"/>
        </w:rPr>
        <w:t>Universalindikatorp</w:t>
      </w:r>
      <w:r w:rsidRPr="00E865FA">
        <w:rPr>
          <w:sz w:val="24"/>
          <w:szCs w:val="24"/>
        </w:rPr>
        <w:t xml:space="preserve">apier und </w:t>
      </w:r>
      <w:proofErr w:type="spellStart"/>
      <w:r w:rsidR="00AA56AD">
        <w:rPr>
          <w:sz w:val="24"/>
          <w:szCs w:val="24"/>
        </w:rPr>
        <w:t>Unisol</w:t>
      </w:r>
      <w:proofErr w:type="spellEnd"/>
      <w:r w:rsidR="00AA56AD">
        <w:rPr>
          <w:sz w:val="24"/>
          <w:szCs w:val="24"/>
        </w:rPr>
        <w:t>®-</w:t>
      </w:r>
      <w:r w:rsidRPr="00E865FA">
        <w:rPr>
          <w:sz w:val="24"/>
          <w:szCs w:val="24"/>
        </w:rPr>
        <w:t>Lösung)</w:t>
      </w:r>
    </w:p>
    <w:p w:rsidR="00C75BA1" w:rsidRDefault="00C75BA1" w:rsidP="00351753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E865FA">
        <w:rPr>
          <w:sz w:val="18"/>
          <w:szCs w:val="18"/>
        </w:rPr>
        <w:t>Anmerkung: Nach derzeit gültiger Gefahrstoffliste SR 2004 ist Phenolphthalein-Indikatorlösung in der für die Schüler handhabbaren Verdünnung kein Gefahrstoff.</w:t>
      </w:r>
      <w:r w:rsidRPr="00E865FA">
        <w:rPr>
          <w:sz w:val="18"/>
          <w:szCs w:val="18"/>
        </w:rPr>
        <w:br/>
        <w:t xml:space="preserve">8 </w:t>
      </w:r>
      <w:proofErr w:type="spellStart"/>
      <w:r w:rsidRPr="00E865FA">
        <w:rPr>
          <w:sz w:val="18"/>
          <w:szCs w:val="18"/>
        </w:rPr>
        <w:t>mL</w:t>
      </w:r>
      <w:proofErr w:type="spellEnd"/>
      <w:r w:rsidRPr="00E865FA">
        <w:rPr>
          <w:sz w:val="18"/>
          <w:szCs w:val="18"/>
        </w:rPr>
        <w:t xml:space="preserve"> Phenolphthalein-Lösung (handelsüblich w=0,9%) werden mit </w:t>
      </w:r>
      <w:r w:rsidR="00AA56AD">
        <w:rPr>
          <w:sz w:val="18"/>
          <w:szCs w:val="18"/>
        </w:rPr>
        <w:t>50%igem</w:t>
      </w:r>
      <w:r w:rsidRPr="00E865FA">
        <w:rPr>
          <w:sz w:val="18"/>
          <w:szCs w:val="18"/>
        </w:rPr>
        <w:t xml:space="preserve"> Ethan</w:t>
      </w:r>
      <w:r w:rsidR="00AA56AD">
        <w:rPr>
          <w:sz w:val="18"/>
          <w:szCs w:val="18"/>
        </w:rPr>
        <w:t>ol</w:t>
      </w:r>
      <w:r w:rsidRPr="00E865FA">
        <w:rPr>
          <w:sz w:val="18"/>
          <w:szCs w:val="18"/>
        </w:rPr>
        <w:t xml:space="preserve"> auf 100 </w:t>
      </w:r>
      <w:proofErr w:type="spellStart"/>
      <w:r w:rsidRPr="00E865FA">
        <w:rPr>
          <w:sz w:val="18"/>
          <w:szCs w:val="18"/>
        </w:rPr>
        <w:t>mL</w:t>
      </w:r>
      <w:proofErr w:type="spellEnd"/>
      <w:r w:rsidRPr="00E865FA">
        <w:rPr>
          <w:sz w:val="18"/>
          <w:szCs w:val="18"/>
        </w:rPr>
        <w:t xml:space="preserve"> Lösung verdünnt</w:t>
      </w:r>
      <w:r w:rsidR="00E865FA" w:rsidRPr="00E865FA">
        <w:rPr>
          <w:sz w:val="18"/>
          <w:szCs w:val="18"/>
        </w:rPr>
        <w:t xml:space="preserve">. </w:t>
      </w:r>
      <w:r w:rsidR="00AA56AD">
        <w:rPr>
          <w:sz w:val="18"/>
          <w:szCs w:val="18"/>
        </w:rPr>
        <w:br/>
      </w:r>
      <w:r w:rsidR="00E865FA" w:rsidRPr="00E865FA">
        <w:rPr>
          <w:sz w:val="18"/>
          <w:szCs w:val="18"/>
        </w:rPr>
        <w:t xml:space="preserve">Damit liegt der Massenanteil des Phenolphthaleins </w:t>
      </w:r>
      <w:r w:rsidR="00AA56AD">
        <w:rPr>
          <w:sz w:val="18"/>
          <w:szCs w:val="18"/>
        </w:rPr>
        <w:t xml:space="preserve">sehr </w:t>
      </w:r>
      <w:r w:rsidR="00E865FA" w:rsidRPr="00E865FA">
        <w:rPr>
          <w:sz w:val="18"/>
          <w:szCs w:val="18"/>
        </w:rPr>
        <w:t>deutlich unter dem Grenzwert.</w:t>
      </w:r>
    </w:p>
    <w:p w:rsidR="00C75BA1" w:rsidRPr="00C75BA1" w:rsidRDefault="00C75BA1" w:rsidP="00E86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rPr>
          <w:b/>
          <w:sz w:val="24"/>
          <w:szCs w:val="24"/>
        </w:rPr>
      </w:pPr>
      <w:r w:rsidRPr="00C75BA1">
        <w:rPr>
          <w:b/>
          <w:sz w:val="24"/>
          <w:szCs w:val="24"/>
          <w:u w:val="single"/>
        </w:rPr>
        <w:t>Aufgabe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Ü1</w:t>
      </w:r>
    </w:p>
    <w:p w:rsidR="00C75BA1" w:rsidRDefault="00C75BA1" w:rsidP="00E86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sz w:val="24"/>
          <w:szCs w:val="24"/>
        </w:rPr>
      </w:pPr>
      <w:r>
        <w:rPr>
          <w:sz w:val="24"/>
          <w:szCs w:val="24"/>
        </w:rPr>
        <w:t>Entwickeln Sie ein einfaches Experiment, mit dem die praktische Nutzung dieser Säure-Base-Indikatoren eingeübt werden kann. Formulieren Sie dazu eine Fragestellung, eine Versuchsdurchführung und eine Möglichkeit der Auswertung.</w:t>
      </w:r>
    </w:p>
    <w:p w:rsidR="00E865FA" w:rsidRDefault="00E865FA" w:rsidP="002A4386">
      <w:pPr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Den Begriff des </w:t>
      </w:r>
      <w:r w:rsidRPr="00E865FA">
        <w:rPr>
          <w:sz w:val="24"/>
          <w:szCs w:val="24"/>
          <w:u w:val="single"/>
        </w:rPr>
        <w:t>Umschlagbereichs eines Indikators</w:t>
      </w:r>
      <w:r>
        <w:rPr>
          <w:sz w:val="24"/>
          <w:szCs w:val="24"/>
        </w:rPr>
        <w:t xml:space="preserve"> wird häufig nur durch Mitteilung oder Recherche erarbeitet.</w:t>
      </w:r>
      <w:r w:rsidR="002A4386">
        <w:rPr>
          <w:sz w:val="24"/>
          <w:szCs w:val="24"/>
        </w:rPr>
        <w:t xml:space="preserve"> Er ist wichtig bei der Titration wässriger Lösungen schwacher Säuren (Phenolphthalein), schwacher Basen (Methylrot) und zum Verständnis der Wirkungsweise von Universalindikator.</w:t>
      </w:r>
      <w:r>
        <w:rPr>
          <w:sz w:val="24"/>
          <w:szCs w:val="24"/>
        </w:rPr>
        <w:br/>
        <w:t>Der Umschlagbereich kann aber auch durch eine Verdünnungsreihe grob ermittelt</w:t>
      </w:r>
      <w:r w:rsidR="00AA56AD">
        <w:rPr>
          <w:sz w:val="24"/>
          <w:szCs w:val="24"/>
        </w:rPr>
        <w:t xml:space="preserve"> und veranschaulicht werden. Zudem wird durch ein solches Experiment die Vorstellung von der logarithmischen pH-Skala (Verdünnungsfaktor 10 zwischen den pH-Stufen) gefördert.</w:t>
      </w:r>
    </w:p>
    <w:p w:rsidR="00AA56AD" w:rsidRPr="00AA56AD" w:rsidRDefault="00AA56AD" w:rsidP="00AA56AD">
      <w:pPr>
        <w:spacing w:after="0"/>
        <w:rPr>
          <w:sz w:val="24"/>
          <w:szCs w:val="24"/>
          <w:u w:val="single"/>
        </w:rPr>
      </w:pPr>
      <w:r w:rsidRPr="00AA56AD">
        <w:rPr>
          <w:sz w:val="24"/>
          <w:szCs w:val="24"/>
          <w:u w:val="single"/>
        </w:rPr>
        <w:t>Geräte und Chemikalien</w:t>
      </w:r>
    </w:p>
    <w:p w:rsidR="00E865FA" w:rsidRDefault="00AA56AD" w:rsidP="00AA56AD">
      <w:pPr>
        <w:spacing w:after="0"/>
        <w:rPr>
          <w:sz w:val="24"/>
          <w:szCs w:val="24"/>
        </w:rPr>
      </w:pPr>
      <w:r>
        <w:rPr>
          <w:sz w:val="24"/>
          <w:szCs w:val="24"/>
        </w:rPr>
        <w:t>Becherglas 1,5 L, gefüllt mit Leitungswasser und zugesetztem Indikator</w:t>
      </w:r>
    </w:p>
    <w:p w:rsidR="00AA56AD" w:rsidRDefault="00AA56AD" w:rsidP="00AA56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Messzylinder 100 </w:t>
      </w:r>
      <w:proofErr w:type="spellStart"/>
      <w:r>
        <w:rPr>
          <w:sz w:val="24"/>
          <w:szCs w:val="24"/>
        </w:rPr>
        <w:t>mL</w:t>
      </w:r>
      <w:proofErr w:type="spellEnd"/>
    </w:p>
    <w:p w:rsidR="00AA56AD" w:rsidRDefault="00AA56AD" w:rsidP="00AA56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15 Bechergläser 150 </w:t>
      </w:r>
      <w:proofErr w:type="spellStart"/>
      <w:r>
        <w:rPr>
          <w:sz w:val="24"/>
          <w:szCs w:val="24"/>
        </w:rPr>
        <w:t>mL</w:t>
      </w:r>
      <w:proofErr w:type="spellEnd"/>
      <w:r>
        <w:rPr>
          <w:sz w:val="24"/>
          <w:szCs w:val="24"/>
        </w:rPr>
        <w:t xml:space="preserve"> hohe Form</w:t>
      </w:r>
    </w:p>
    <w:p w:rsidR="00AA56AD" w:rsidRDefault="00AA56AD" w:rsidP="00AA56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100 </w:t>
      </w:r>
      <w:proofErr w:type="spellStart"/>
      <w:r>
        <w:rPr>
          <w:sz w:val="24"/>
          <w:szCs w:val="24"/>
        </w:rPr>
        <w:t>mL</w:t>
      </w:r>
      <w:proofErr w:type="spellEnd"/>
      <w:r>
        <w:rPr>
          <w:sz w:val="24"/>
          <w:szCs w:val="24"/>
        </w:rPr>
        <w:t xml:space="preserve"> Salzsäure (c= 1mol </w:t>
      </w:r>
      <w:r>
        <w:rPr>
          <w:rFonts w:ascii="Cambria Math" w:hAnsi="Cambria Math"/>
          <w:sz w:val="24"/>
          <w:szCs w:val="24"/>
        </w:rPr>
        <w:t>·</w:t>
      </w:r>
      <w:r>
        <w:rPr>
          <w:sz w:val="24"/>
          <w:szCs w:val="24"/>
        </w:rPr>
        <w:t xml:space="preserve"> L</w:t>
      </w:r>
      <w:r>
        <w:rPr>
          <w:sz w:val="24"/>
          <w:szCs w:val="24"/>
          <w:vertAlign w:val="superscript"/>
        </w:rPr>
        <w:t>-1</w:t>
      </w:r>
      <w:r>
        <w:rPr>
          <w:sz w:val="24"/>
          <w:szCs w:val="24"/>
        </w:rPr>
        <w:t xml:space="preserve">) </w:t>
      </w:r>
    </w:p>
    <w:p w:rsidR="00AA56AD" w:rsidRDefault="00AA56AD" w:rsidP="00AA56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100 </w:t>
      </w:r>
      <w:proofErr w:type="spellStart"/>
      <w:r>
        <w:rPr>
          <w:sz w:val="24"/>
          <w:szCs w:val="24"/>
        </w:rPr>
        <w:t>mL</w:t>
      </w:r>
      <w:proofErr w:type="spellEnd"/>
      <w:r>
        <w:rPr>
          <w:sz w:val="24"/>
          <w:szCs w:val="24"/>
        </w:rPr>
        <w:t xml:space="preserve"> Natronlauge (c= 1mol </w:t>
      </w:r>
      <w:r>
        <w:rPr>
          <w:rFonts w:ascii="Cambria Math" w:hAnsi="Cambria Math"/>
          <w:sz w:val="24"/>
          <w:szCs w:val="24"/>
        </w:rPr>
        <w:t>·</w:t>
      </w:r>
      <w:r>
        <w:rPr>
          <w:sz w:val="24"/>
          <w:szCs w:val="24"/>
        </w:rPr>
        <w:t xml:space="preserve"> L</w:t>
      </w:r>
      <w:r>
        <w:rPr>
          <w:sz w:val="24"/>
          <w:szCs w:val="24"/>
          <w:vertAlign w:val="superscript"/>
        </w:rPr>
        <w:t>-1</w:t>
      </w:r>
      <w:r>
        <w:rPr>
          <w:sz w:val="24"/>
          <w:szCs w:val="24"/>
        </w:rPr>
        <w:t>)</w:t>
      </w:r>
    </w:p>
    <w:p w:rsidR="00AA56AD" w:rsidRDefault="00AA56AD" w:rsidP="00AA56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Medizintechnikspritze 10 </w:t>
      </w:r>
      <w:proofErr w:type="spellStart"/>
      <w:r>
        <w:rPr>
          <w:sz w:val="24"/>
          <w:szCs w:val="24"/>
        </w:rPr>
        <w:t>mL</w:t>
      </w:r>
      <w:proofErr w:type="spellEnd"/>
    </w:p>
    <w:p w:rsidR="00AA56AD" w:rsidRDefault="00AA56AD" w:rsidP="00AA56AD">
      <w:pPr>
        <w:spacing w:after="0"/>
        <w:rPr>
          <w:sz w:val="24"/>
          <w:szCs w:val="24"/>
        </w:rPr>
      </w:pPr>
    </w:p>
    <w:p w:rsidR="00AA56AD" w:rsidRDefault="00AA56AD" w:rsidP="005B2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Aufgabe 2</w:t>
      </w:r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>Führen Sie ein E</w:t>
      </w:r>
      <w:r w:rsidR="002A4386">
        <w:rPr>
          <w:sz w:val="24"/>
          <w:szCs w:val="24"/>
        </w:rPr>
        <w:t>xperiment zur Ermittlung des Umschlagbereichs des Indikators praktisch durch. Prüfen Sie, inwieweit sich bei mittleren pH-Werten der Puffereffekt des Leitungswassers auswirkt.</w:t>
      </w:r>
    </w:p>
    <w:p w:rsidR="002A4386" w:rsidRDefault="002A4386" w:rsidP="005B2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rPr>
          <w:sz w:val="24"/>
          <w:szCs w:val="24"/>
        </w:rPr>
      </w:pPr>
      <w:r w:rsidRPr="002A4386">
        <w:rPr>
          <w:sz w:val="24"/>
          <w:szCs w:val="24"/>
          <w:u w:val="single"/>
        </w:rPr>
        <w:t>Zusatzaufgabe für die Kursstufe (4st):</w:t>
      </w:r>
      <w:r>
        <w:rPr>
          <w:sz w:val="24"/>
          <w:szCs w:val="24"/>
        </w:rPr>
        <w:t xml:space="preserve"> Beim Thema Umschlagbereich eines Indikators (über etwa 2 pH-Stufen</w:t>
      </w:r>
      <w:r w:rsidR="005B26E5">
        <w:rPr>
          <w:sz w:val="24"/>
          <w:szCs w:val="24"/>
        </w:rPr>
        <w:t>, diese</w:t>
      </w:r>
      <w:r>
        <w:rPr>
          <w:sz w:val="24"/>
          <w:szCs w:val="24"/>
        </w:rPr>
        <w:t xml:space="preserve"> entsprechen 10-fachem Überschuss </w:t>
      </w:r>
      <w:proofErr w:type="spellStart"/>
      <w:r>
        <w:rPr>
          <w:sz w:val="24"/>
          <w:szCs w:val="24"/>
        </w:rPr>
        <w:t>HInd</w:t>
      </w:r>
      <w:proofErr w:type="spellEnd"/>
      <w:r>
        <w:rPr>
          <w:sz w:val="24"/>
          <w:szCs w:val="24"/>
        </w:rPr>
        <w:t xml:space="preserve"> bis 10-fachem Überschuss </w:t>
      </w:r>
      <w:proofErr w:type="spellStart"/>
      <w:r>
        <w:rPr>
          <w:sz w:val="24"/>
          <w:szCs w:val="24"/>
        </w:rPr>
        <w:t>Ind</w:t>
      </w:r>
      <w:proofErr w:type="spellEnd"/>
      <w:r>
        <w:rPr>
          <w:sz w:val="24"/>
          <w:szCs w:val="24"/>
          <w:vertAlign w:val="superscript"/>
        </w:rPr>
        <w:t>-</w:t>
      </w:r>
      <w:r>
        <w:rPr>
          <w:sz w:val="24"/>
          <w:szCs w:val="24"/>
        </w:rPr>
        <w:t xml:space="preserve">, dazwischen Mischfarbe) kann die  </w:t>
      </w:r>
      <w:r w:rsidR="005B26E5">
        <w:rPr>
          <w:sz w:val="24"/>
          <w:szCs w:val="24"/>
        </w:rPr>
        <w:t>pH-Abhängigkeit von Säure-Base-Gleichgewichten weiter eingeübt werden, die schon von Puffersystemen her bekannt ist. Entwickeln Sie eine entsprechende Aufgabe.</w:t>
      </w:r>
    </w:p>
    <w:p w:rsidR="005B26E5" w:rsidRDefault="005B26E5" w:rsidP="00AA56AD">
      <w:pPr>
        <w:spacing w:after="0"/>
        <w:rPr>
          <w:sz w:val="24"/>
          <w:szCs w:val="24"/>
        </w:rPr>
      </w:pPr>
    </w:p>
    <w:p w:rsidR="005B26E5" w:rsidRDefault="005B26E5" w:rsidP="00AA56AD">
      <w:pPr>
        <w:spacing w:after="0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7"/>
        <w:gridCol w:w="567"/>
      </w:tblGrid>
      <w:tr w:rsidR="005B26E5" w:rsidRPr="00BC5E70" w:rsidTr="005B26E5">
        <w:trPr>
          <w:trHeight w:hRule="exact" w:val="1430"/>
        </w:trPr>
        <w:tc>
          <w:tcPr>
            <w:tcW w:w="9747" w:type="dxa"/>
            <w:vAlign w:val="center"/>
          </w:tcPr>
          <w:p w:rsidR="005B26E5" w:rsidRDefault="005B26E5" w:rsidP="0088618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Üben mit Experimenten - Verschiedene Übungsformate</w:t>
            </w:r>
            <w:r w:rsidRPr="001C46A7">
              <w:rPr>
                <w:b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86"/>
            </w:tblGrid>
            <w:tr w:rsidR="005B26E5" w:rsidTr="0088618C">
              <w:trPr>
                <w:trHeight w:val="244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8170"/>
                  </w:tblGrid>
                  <w:tr w:rsidR="005B26E5">
                    <w:trPr>
                      <w:trHeight w:val="379"/>
                    </w:trPr>
                    <w:tc>
                      <w:tcPr>
                        <w:tcW w:w="0" w:type="auto"/>
                      </w:tcPr>
                      <w:p w:rsidR="005B26E5" w:rsidRDefault="005B26E5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5B26E5">
                          <w:rPr>
                            <w:b/>
                            <w:bCs/>
                            <w:sz w:val="28"/>
                            <w:szCs w:val="28"/>
                          </w:rPr>
                          <w:t>Exp</w:t>
                        </w:r>
                        <w:proofErr w:type="spellEnd"/>
                        <w:r w:rsidRPr="005B26E5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.: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Chromatograf</w:t>
                        </w:r>
                        <w:r w:rsidRPr="005B26E5">
                          <w:rPr>
                            <w:sz w:val="28"/>
                            <w:szCs w:val="28"/>
                          </w:rPr>
                          <w:t>ische</w:t>
                        </w:r>
                        <w:proofErr w:type="spellEnd"/>
                        <w:r w:rsidRPr="005B26E5">
                          <w:rPr>
                            <w:sz w:val="28"/>
                            <w:szCs w:val="28"/>
                          </w:rPr>
                          <w:t xml:space="preserve"> Ermittlung der Indikatorfarbstoffe in</w:t>
                        </w:r>
                      </w:p>
                      <w:p w:rsidR="005B26E5" w:rsidRDefault="005B26E5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 w:rsidRPr="005B26E5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     </w:t>
                        </w:r>
                        <w:r w:rsidRPr="005B26E5">
                          <w:rPr>
                            <w:sz w:val="28"/>
                            <w:szCs w:val="28"/>
                          </w:rPr>
                          <w:t>Universalindikator</w:t>
                        </w:r>
                        <w:r>
                          <w:rPr>
                            <w:sz w:val="28"/>
                            <w:szCs w:val="28"/>
                          </w:rPr>
                          <w:t>-L</w:t>
                        </w:r>
                        <w:r w:rsidRPr="005B26E5">
                          <w:rPr>
                            <w:sz w:val="28"/>
                            <w:szCs w:val="28"/>
                          </w:rPr>
                          <w:t>ösung / Modellexperiment zum Ablauf einer</w:t>
                        </w:r>
                      </w:p>
                      <w:p w:rsidR="005B26E5" w:rsidRPr="005B26E5" w:rsidRDefault="005B26E5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</w:t>
                        </w:r>
                        <w:r w:rsidRPr="005B26E5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B26E5">
                          <w:rPr>
                            <w:sz w:val="28"/>
                            <w:szCs w:val="28"/>
                          </w:rPr>
                          <w:t>chromatografischen</w:t>
                        </w:r>
                        <w:proofErr w:type="spellEnd"/>
                        <w:r w:rsidRPr="005B26E5">
                          <w:rPr>
                            <w:sz w:val="28"/>
                            <w:szCs w:val="28"/>
                          </w:rPr>
                          <w:t xml:space="preserve"> Trennung </w:t>
                        </w:r>
                      </w:p>
                    </w:tc>
                  </w:tr>
                </w:tbl>
                <w:p w:rsidR="005B26E5" w:rsidRDefault="005B26E5" w:rsidP="0088618C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5B26E5" w:rsidTr="0088618C">
              <w:trPr>
                <w:trHeight w:val="244"/>
              </w:trPr>
              <w:tc>
                <w:tcPr>
                  <w:tcW w:w="0" w:type="auto"/>
                </w:tcPr>
                <w:p w:rsidR="005B26E5" w:rsidRDefault="005B26E5" w:rsidP="0088618C">
                  <w:pPr>
                    <w:pStyle w:val="Default"/>
                  </w:pPr>
                  <w:r>
                    <w:t xml:space="preserve">  </w:t>
                  </w:r>
                </w:p>
              </w:tc>
            </w:tr>
          </w:tbl>
          <w:p w:rsidR="005B26E5" w:rsidRDefault="005B26E5" w:rsidP="0088618C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5B26E5" w:rsidRPr="001C46A7" w:rsidRDefault="005B26E5" w:rsidP="0088618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5B26E5" w:rsidRPr="00BC5E70" w:rsidRDefault="005B26E5" w:rsidP="0088618C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Ü2</w:t>
            </w:r>
          </w:p>
        </w:tc>
      </w:tr>
    </w:tbl>
    <w:p w:rsidR="00E865FA" w:rsidRDefault="005B26E5" w:rsidP="00E865FA">
      <w:pPr>
        <w:rPr>
          <w:sz w:val="24"/>
          <w:szCs w:val="24"/>
        </w:rPr>
      </w:pPr>
      <w:r>
        <w:rPr>
          <w:sz w:val="24"/>
          <w:szCs w:val="24"/>
        </w:rPr>
        <w:t xml:space="preserve">Die Zusammensetzung von Universalindikatorfarbstoffgemischen kann </w:t>
      </w:r>
      <w:proofErr w:type="spellStart"/>
      <w:r>
        <w:rPr>
          <w:sz w:val="24"/>
          <w:szCs w:val="24"/>
        </w:rPr>
        <w:t>chromatografisch</w:t>
      </w:r>
      <w:proofErr w:type="spellEnd"/>
      <w:r>
        <w:rPr>
          <w:sz w:val="24"/>
          <w:szCs w:val="24"/>
        </w:rPr>
        <w:t xml:space="preserve"> ermittelt werden. Damit wird die Methode der Chromatografie eingeübt. </w:t>
      </w:r>
      <w:r w:rsidR="00B82117">
        <w:rPr>
          <w:sz w:val="24"/>
          <w:szCs w:val="24"/>
        </w:rPr>
        <w:t>Ein</w:t>
      </w:r>
      <w:r>
        <w:rPr>
          <w:sz w:val="24"/>
          <w:szCs w:val="24"/>
        </w:rPr>
        <w:t xml:space="preserve"> </w:t>
      </w:r>
      <w:r w:rsidR="00B82117">
        <w:rPr>
          <w:sz w:val="24"/>
          <w:szCs w:val="24"/>
        </w:rPr>
        <w:t>Zusatzexperiment zeigt</w:t>
      </w:r>
      <w:r>
        <w:rPr>
          <w:sz w:val="24"/>
          <w:szCs w:val="24"/>
        </w:rPr>
        <w:t xml:space="preserve"> wiederum die Farbe der einzelnen Indikatorfarbstoffe bei verschiedenen pH-Werten.</w:t>
      </w:r>
    </w:p>
    <w:p w:rsidR="00B82117" w:rsidRDefault="00B82117" w:rsidP="00B82117">
      <w:pPr>
        <w:spacing w:after="0"/>
        <w:rPr>
          <w:sz w:val="24"/>
          <w:szCs w:val="24"/>
          <w:u w:val="single"/>
        </w:rPr>
      </w:pPr>
      <w:r w:rsidRPr="00B82117">
        <w:rPr>
          <w:sz w:val="24"/>
          <w:szCs w:val="24"/>
          <w:u w:val="single"/>
        </w:rPr>
        <w:t>Geräte und Chemikalien</w:t>
      </w:r>
    </w:p>
    <w:p w:rsidR="00B82117" w:rsidRDefault="00B82117" w:rsidP="00B82117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Chromatog</w:t>
      </w:r>
      <w:r w:rsidR="00FE069D">
        <w:rPr>
          <w:sz w:val="24"/>
          <w:szCs w:val="24"/>
        </w:rPr>
        <w:t>r</w:t>
      </w:r>
      <w:r>
        <w:rPr>
          <w:sz w:val="24"/>
          <w:szCs w:val="24"/>
        </w:rPr>
        <w:t>afiekammern</w:t>
      </w:r>
      <w:proofErr w:type="spellEnd"/>
      <w:r>
        <w:rPr>
          <w:sz w:val="24"/>
          <w:szCs w:val="24"/>
        </w:rPr>
        <w:t xml:space="preserve"> mit Deckel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Unisol</w:t>
      </w:r>
      <w:proofErr w:type="spellEnd"/>
      <w:r>
        <w:rPr>
          <w:sz w:val="24"/>
          <w:szCs w:val="24"/>
        </w:rPr>
        <w:t xml:space="preserve">®  </w:t>
      </w:r>
    </w:p>
    <w:p w:rsidR="00B82117" w:rsidRDefault="00B82117" w:rsidP="00B82117">
      <w:pPr>
        <w:spacing w:after="0"/>
        <w:rPr>
          <w:sz w:val="24"/>
          <w:szCs w:val="24"/>
        </w:rPr>
      </w:pPr>
      <w:r>
        <w:rPr>
          <w:sz w:val="24"/>
          <w:szCs w:val="24"/>
        </w:rPr>
        <w:t>oder Standzylinder mit Abdeckglasscheibe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Methylrot-Lösung</w:t>
      </w:r>
    </w:p>
    <w:p w:rsidR="00B82117" w:rsidRDefault="00B82117" w:rsidP="00B82117">
      <w:pPr>
        <w:spacing w:after="0"/>
        <w:rPr>
          <w:sz w:val="24"/>
          <w:szCs w:val="24"/>
        </w:rPr>
      </w:pPr>
      <w:r>
        <w:rPr>
          <w:sz w:val="24"/>
          <w:szCs w:val="24"/>
        </w:rPr>
        <w:t>Glaskapillaren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Phenolphthalein-Lösung</w:t>
      </w:r>
    </w:p>
    <w:p w:rsidR="00B82117" w:rsidRPr="00B82117" w:rsidRDefault="00B82117" w:rsidP="00B82117">
      <w:pPr>
        <w:spacing w:after="0"/>
        <w:rPr>
          <w:sz w:val="24"/>
          <w:szCs w:val="24"/>
        </w:rPr>
      </w:pPr>
      <w:r>
        <w:rPr>
          <w:sz w:val="24"/>
          <w:szCs w:val="24"/>
        </w:rPr>
        <w:t>Lineal, weicher Bleistift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Methylorange-Lösung</w:t>
      </w:r>
    </w:p>
    <w:p w:rsidR="00E865FA" w:rsidRDefault="00E72B68" w:rsidP="00E72B6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B82117">
        <w:rPr>
          <w:sz w:val="24"/>
          <w:szCs w:val="24"/>
        </w:rPr>
        <w:tab/>
      </w:r>
      <w:r w:rsidR="00B82117">
        <w:rPr>
          <w:sz w:val="24"/>
          <w:szCs w:val="24"/>
        </w:rPr>
        <w:tab/>
      </w:r>
      <w:r w:rsidR="00B82117">
        <w:rPr>
          <w:sz w:val="24"/>
          <w:szCs w:val="24"/>
        </w:rPr>
        <w:tab/>
      </w:r>
      <w:r w:rsidR="00B82117">
        <w:rPr>
          <w:sz w:val="24"/>
          <w:szCs w:val="24"/>
        </w:rPr>
        <w:tab/>
      </w:r>
      <w:r w:rsidR="00B82117">
        <w:rPr>
          <w:sz w:val="24"/>
          <w:szCs w:val="24"/>
        </w:rPr>
        <w:tab/>
      </w:r>
      <w:r w:rsidR="00B82117">
        <w:rPr>
          <w:sz w:val="24"/>
          <w:szCs w:val="24"/>
        </w:rPr>
        <w:tab/>
      </w:r>
      <w:proofErr w:type="spellStart"/>
      <w:r w:rsidR="00B82117">
        <w:rPr>
          <w:sz w:val="24"/>
          <w:szCs w:val="24"/>
        </w:rPr>
        <w:t>Bromthymolblau</w:t>
      </w:r>
      <w:proofErr w:type="spellEnd"/>
      <w:r w:rsidR="00B82117">
        <w:rPr>
          <w:sz w:val="24"/>
          <w:szCs w:val="24"/>
        </w:rPr>
        <w:t>-Lösung</w:t>
      </w:r>
    </w:p>
    <w:p w:rsidR="00B82117" w:rsidRDefault="00B82117" w:rsidP="00B82117">
      <w:pPr>
        <w:spacing w:after="0"/>
        <w:rPr>
          <w:sz w:val="24"/>
          <w:szCs w:val="24"/>
        </w:rPr>
      </w:pPr>
      <w:r>
        <w:rPr>
          <w:sz w:val="24"/>
          <w:szCs w:val="24"/>
        </w:rPr>
        <w:t>Laufmittel:</w:t>
      </w:r>
      <w:r>
        <w:rPr>
          <w:sz w:val="24"/>
          <w:szCs w:val="24"/>
        </w:rPr>
        <w:tab/>
        <w:t xml:space="preserve">Natronlauge (0,1 </w:t>
      </w:r>
      <w:proofErr w:type="spellStart"/>
      <w:r>
        <w:rPr>
          <w:sz w:val="24"/>
          <w:szCs w:val="24"/>
        </w:rPr>
        <w:t>mol</w:t>
      </w:r>
      <w:proofErr w:type="spellEnd"/>
      <w:r>
        <w:rPr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>·</w:t>
      </w:r>
      <w:r>
        <w:rPr>
          <w:sz w:val="24"/>
          <w:szCs w:val="24"/>
        </w:rPr>
        <w:t xml:space="preserve"> L</w:t>
      </w:r>
      <w:r>
        <w:rPr>
          <w:sz w:val="24"/>
          <w:szCs w:val="24"/>
          <w:vertAlign w:val="superscript"/>
        </w:rPr>
        <w:t>-1</w:t>
      </w:r>
      <w:r>
        <w:rPr>
          <w:sz w:val="24"/>
          <w:szCs w:val="24"/>
        </w:rPr>
        <w:t>) und Methanol im Volumenverhältnis 10:1</w:t>
      </w:r>
    </w:p>
    <w:p w:rsidR="00B82117" w:rsidRDefault="00B82117" w:rsidP="00E865FA">
      <w:pPr>
        <w:rPr>
          <w:sz w:val="24"/>
          <w:szCs w:val="24"/>
        </w:rPr>
      </w:pPr>
      <w:r>
        <w:rPr>
          <w:sz w:val="24"/>
          <w:szCs w:val="24"/>
        </w:rPr>
        <w:t xml:space="preserve">DC-Platten </w:t>
      </w:r>
      <w:proofErr w:type="spellStart"/>
      <w:r>
        <w:rPr>
          <w:sz w:val="24"/>
          <w:szCs w:val="24"/>
        </w:rPr>
        <w:t>Polygram</w:t>
      </w:r>
      <w:proofErr w:type="spellEnd"/>
      <w:r>
        <w:rPr>
          <w:sz w:val="24"/>
          <w:szCs w:val="24"/>
        </w:rPr>
        <w:t>® Cellulose</w:t>
      </w:r>
    </w:p>
    <w:p w:rsidR="00B82117" w:rsidRDefault="00B82117" w:rsidP="00E72B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Nach Durchführung und Auswertung des Experiments </w:t>
      </w:r>
      <w:r w:rsidR="00655A5A">
        <w:rPr>
          <w:sz w:val="24"/>
          <w:szCs w:val="24"/>
        </w:rPr>
        <w:t>kö</w:t>
      </w:r>
      <w:r>
        <w:rPr>
          <w:sz w:val="24"/>
          <w:szCs w:val="24"/>
        </w:rPr>
        <w:t>nn</w:t>
      </w:r>
      <w:r w:rsidR="00655A5A">
        <w:rPr>
          <w:sz w:val="24"/>
          <w:szCs w:val="24"/>
        </w:rPr>
        <w:t>en zwei</w:t>
      </w:r>
      <w:r>
        <w:rPr>
          <w:sz w:val="24"/>
          <w:szCs w:val="24"/>
        </w:rPr>
        <w:t xml:space="preserve"> noch feuchte DC-Platte</w:t>
      </w:r>
      <w:r w:rsidR="00655A5A">
        <w:rPr>
          <w:sz w:val="24"/>
          <w:szCs w:val="24"/>
        </w:rPr>
        <w:t>n</w:t>
      </w:r>
      <w:r>
        <w:rPr>
          <w:sz w:val="24"/>
          <w:szCs w:val="24"/>
        </w:rPr>
        <w:t xml:space="preserve"> in </w:t>
      </w:r>
      <w:r w:rsidR="00655A5A">
        <w:rPr>
          <w:sz w:val="24"/>
          <w:szCs w:val="24"/>
        </w:rPr>
        <w:t>vorbereitete</w:t>
      </w:r>
      <w:r>
        <w:rPr>
          <w:sz w:val="24"/>
          <w:szCs w:val="24"/>
        </w:rPr>
        <w:t xml:space="preserve"> Glaszylinder mit </w:t>
      </w:r>
      <w:r w:rsidR="00655A5A">
        <w:rPr>
          <w:sz w:val="24"/>
          <w:szCs w:val="24"/>
        </w:rPr>
        <w:t>NH</w:t>
      </w:r>
      <w:r w:rsidR="00655A5A">
        <w:rPr>
          <w:sz w:val="24"/>
          <w:szCs w:val="24"/>
          <w:vertAlign w:val="subscript"/>
        </w:rPr>
        <w:t>3</w:t>
      </w:r>
      <w:r w:rsidR="00655A5A">
        <w:rPr>
          <w:sz w:val="24"/>
          <w:szCs w:val="24"/>
        </w:rPr>
        <w:t xml:space="preserve"> – bzw.  </w:t>
      </w:r>
      <w:r>
        <w:rPr>
          <w:sz w:val="24"/>
          <w:szCs w:val="24"/>
        </w:rPr>
        <w:t xml:space="preserve">HCl-Atmosphäre gehängt werden, um die Indikatorfarben in </w:t>
      </w:r>
      <w:r w:rsidR="00655A5A">
        <w:rPr>
          <w:sz w:val="24"/>
          <w:szCs w:val="24"/>
        </w:rPr>
        <w:t xml:space="preserve">alkalischen und </w:t>
      </w:r>
      <w:r>
        <w:rPr>
          <w:sz w:val="24"/>
          <w:szCs w:val="24"/>
        </w:rPr>
        <w:t>sauren Lösungen zu zeigen</w:t>
      </w:r>
      <w:r w:rsidR="00655A5A">
        <w:rPr>
          <w:sz w:val="24"/>
          <w:szCs w:val="24"/>
        </w:rPr>
        <w:t xml:space="preserve"> (rechte Abbildung)</w:t>
      </w:r>
      <w:r>
        <w:rPr>
          <w:sz w:val="24"/>
          <w:szCs w:val="24"/>
        </w:rPr>
        <w:t>.</w:t>
      </w:r>
    </w:p>
    <w:p w:rsidR="00B82117" w:rsidRDefault="0018755A" w:rsidP="00E865FA">
      <w:pPr>
        <w:rPr>
          <w:sz w:val="24"/>
          <w:szCs w:val="24"/>
        </w:rPr>
      </w:pPr>
      <w:r>
        <w:rPr>
          <w:sz w:val="24"/>
          <w:szCs w:val="24"/>
        </w:rPr>
        <w:t xml:space="preserve">Das Praktikum kann mit einer Übung zum chemischen Rechnen verknüpft werden (Herstellung von 100mL Natronlauge der angegebenen Stoffmengenkonzentration aus festem </w:t>
      </w:r>
      <w:proofErr w:type="spellStart"/>
      <w:r>
        <w:rPr>
          <w:sz w:val="24"/>
          <w:szCs w:val="24"/>
        </w:rPr>
        <w:t>NaOH</w:t>
      </w:r>
      <w:proofErr w:type="spellEnd"/>
      <w:r>
        <w:rPr>
          <w:sz w:val="24"/>
          <w:szCs w:val="24"/>
        </w:rPr>
        <w:t xml:space="preserve"> und Wasser).</w:t>
      </w:r>
    </w:p>
    <w:p w:rsidR="00E72B68" w:rsidRDefault="00E72B68" w:rsidP="00E865FA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inline distT="0" distB="0" distL="0" distR="0">
            <wp:extent cx="1241784" cy="196397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omoatografie_Unisol_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255" cy="1966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5A5A">
        <w:rPr>
          <w:sz w:val="24"/>
          <w:szCs w:val="24"/>
        </w:rPr>
        <w:t xml:space="preserve">      </w:t>
      </w:r>
      <w:r>
        <w:rPr>
          <w:noProof/>
          <w:sz w:val="24"/>
          <w:szCs w:val="24"/>
          <w:lang w:eastAsia="de-DE"/>
        </w:rPr>
        <w:drawing>
          <wp:inline distT="0" distB="0" distL="0" distR="0">
            <wp:extent cx="1304014" cy="1954934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omoatografie_Unisol_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420" cy="1964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5A5A">
        <w:rPr>
          <w:sz w:val="24"/>
          <w:szCs w:val="24"/>
        </w:rPr>
        <w:t xml:space="preserve">      </w:t>
      </w:r>
      <w:r>
        <w:rPr>
          <w:noProof/>
          <w:sz w:val="24"/>
          <w:szCs w:val="24"/>
          <w:lang w:eastAsia="de-DE"/>
        </w:rPr>
        <w:drawing>
          <wp:inline distT="0" distB="0" distL="0" distR="0">
            <wp:extent cx="3204376" cy="193719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omoatografie_Unisol_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219" cy="1942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B68" w:rsidRDefault="00655A5A" w:rsidP="00E865FA">
      <w:pPr>
        <w:rPr>
          <w:sz w:val="24"/>
          <w:szCs w:val="24"/>
        </w:rPr>
      </w:pPr>
      <w:r>
        <w:rPr>
          <w:sz w:val="24"/>
          <w:szCs w:val="24"/>
        </w:rPr>
        <w:t xml:space="preserve">Abb.: </w:t>
      </w:r>
      <w:proofErr w:type="spellStart"/>
      <w:r>
        <w:rPr>
          <w:sz w:val="24"/>
          <w:szCs w:val="24"/>
        </w:rPr>
        <w:t>dünnschichtchromatografische</w:t>
      </w:r>
      <w:proofErr w:type="spellEnd"/>
      <w:r>
        <w:rPr>
          <w:sz w:val="24"/>
          <w:szCs w:val="24"/>
        </w:rPr>
        <w:t xml:space="preserve"> Identifizierung von Indikatorfarbstoffen in </w:t>
      </w:r>
      <w:proofErr w:type="spellStart"/>
      <w:r>
        <w:rPr>
          <w:sz w:val="24"/>
          <w:szCs w:val="24"/>
        </w:rPr>
        <w:t>Unisol</w:t>
      </w:r>
      <w:proofErr w:type="spellEnd"/>
      <w:r>
        <w:rPr>
          <w:sz w:val="24"/>
          <w:szCs w:val="24"/>
        </w:rPr>
        <w:t>®</w:t>
      </w:r>
    </w:p>
    <w:p w:rsidR="00E72B68" w:rsidRDefault="00E72B68" w:rsidP="00E865FA">
      <w:pPr>
        <w:rPr>
          <w:sz w:val="24"/>
          <w:szCs w:val="24"/>
        </w:rPr>
      </w:pPr>
    </w:p>
    <w:p w:rsidR="00655A5A" w:rsidRDefault="00655A5A" w:rsidP="00E865FA">
      <w:pPr>
        <w:rPr>
          <w:sz w:val="24"/>
          <w:szCs w:val="24"/>
        </w:rPr>
      </w:pPr>
    </w:p>
    <w:p w:rsidR="00655A5A" w:rsidRDefault="00655A5A" w:rsidP="00E865FA">
      <w:pPr>
        <w:rPr>
          <w:sz w:val="24"/>
          <w:szCs w:val="24"/>
        </w:rPr>
      </w:pPr>
    </w:p>
    <w:p w:rsidR="00655A5A" w:rsidRDefault="00655A5A" w:rsidP="00E865FA">
      <w:pPr>
        <w:rPr>
          <w:sz w:val="24"/>
          <w:szCs w:val="24"/>
        </w:rPr>
      </w:pPr>
    </w:p>
    <w:p w:rsidR="00655A5A" w:rsidRDefault="00655A5A" w:rsidP="00E865FA">
      <w:pPr>
        <w:rPr>
          <w:sz w:val="24"/>
          <w:szCs w:val="24"/>
        </w:rPr>
      </w:pPr>
    </w:p>
    <w:p w:rsidR="00655A5A" w:rsidRDefault="00655A5A" w:rsidP="00E865FA">
      <w:pPr>
        <w:rPr>
          <w:sz w:val="24"/>
          <w:szCs w:val="24"/>
        </w:rPr>
      </w:pPr>
    </w:p>
    <w:p w:rsidR="00655A5A" w:rsidRDefault="00655A5A" w:rsidP="00E865FA">
      <w:pPr>
        <w:rPr>
          <w:sz w:val="24"/>
          <w:szCs w:val="24"/>
        </w:rPr>
      </w:pPr>
    </w:p>
    <w:p w:rsidR="0018755A" w:rsidRDefault="0018755A" w:rsidP="00E72B68">
      <w:pPr>
        <w:pBdr>
          <w:top w:val="single" w:sz="4" w:space="1" w:color="auto"/>
        </w:pBd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Modellexperiment</w:t>
      </w:r>
      <w:r w:rsidR="00580A4E">
        <w:rPr>
          <w:sz w:val="24"/>
          <w:szCs w:val="24"/>
          <w:u w:val="single"/>
        </w:rPr>
        <w:t xml:space="preserve"> zur Verteilungschromatografie</w:t>
      </w:r>
    </w:p>
    <w:p w:rsidR="0018755A" w:rsidRDefault="0018755A" w:rsidP="00E865FA">
      <w:pPr>
        <w:rPr>
          <w:sz w:val="24"/>
          <w:szCs w:val="24"/>
        </w:rPr>
      </w:pPr>
      <w:r>
        <w:rPr>
          <w:sz w:val="24"/>
          <w:szCs w:val="24"/>
        </w:rPr>
        <w:t>Zum nachhaltigen Verständnis des Grundprinzips einer Verteilungschromatografie dient folgender Modellversuch, an dem 10-20 Personen an drei längs nebeneinander stehenden Tischen arbeiten können</w:t>
      </w:r>
      <w:r w:rsidR="00E72B68">
        <w:rPr>
          <w:sz w:val="24"/>
          <w:szCs w:val="24"/>
        </w:rPr>
        <w:t>.</w:t>
      </w:r>
    </w:p>
    <w:p w:rsidR="00E72B68" w:rsidRDefault="00E72B68" w:rsidP="00E72B68">
      <w:pPr>
        <w:spacing w:after="0"/>
        <w:rPr>
          <w:sz w:val="24"/>
          <w:szCs w:val="24"/>
        </w:rPr>
      </w:pPr>
      <w:r>
        <w:rPr>
          <w:sz w:val="24"/>
          <w:szCs w:val="24"/>
        </w:rPr>
        <w:t>Vorbereitung:</w:t>
      </w:r>
    </w:p>
    <w:p w:rsidR="0018755A" w:rsidRPr="00E72B68" w:rsidRDefault="0018755A" w:rsidP="00E72B68">
      <w:pPr>
        <w:pStyle w:val="Listenabsatz"/>
        <w:numPr>
          <w:ilvl w:val="0"/>
          <w:numId w:val="3"/>
        </w:numPr>
        <w:spacing w:after="0"/>
        <w:rPr>
          <w:sz w:val="24"/>
          <w:szCs w:val="24"/>
        </w:rPr>
      </w:pPr>
      <w:r w:rsidRPr="00E72B68">
        <w:rPr>
          <w:sz w:val="24"/>
          <w:szCs w:val="24"/>
        </w:rPr>
        <w:t>10 Papierblätter A4 rot an der schmalen Seite nebeneinander legen („</w:t>
      </w:r>
      <w:r w:rsidR="00655A5A">
        <w:rPr>
          <w:sz w:val="24"/>
          <w:szCs w:val="24"/>
        </w:rPr>
        <w:t>stationäre</w:t>
      </w:r>
      <w:r w:rsidRPr="00E72B68">
        <w:rPr>
          <w:sz w:val="24"/>
          <w:szCs w:val="24"/>
        </w:rPr>
        <w:t xml:space="preserve"> Phase“)</w:t>
      </w:r>
    </w:p>
    <w:p w:rsidR="0018755A" w:rsidRPr="00E72B68" w:rsidRDefault="0018755A" w:rsidP="00E72B68">
      <w:pPr>
        <w:pStyle w:val="Listenabsatz"/>
        <w:numPr>
          <w:ilvl w:val="0"/>
          <w:numId w:val="3"/>
        </w:numPr>
        <w:spacing w:after="0"/>
        <w:rPr>
          <w:sz w:val="24"/>
          <w:szCs w:val="24"/>
        </w:rPr>
      </w:pPr>
      <w:r w:rsidRPr="00E72B68">
        <w:rPr>
          <w:sz w:val="24"/>
          <w:szCs w:val="24"/>
        </w:rPr>
        <w:t>10 Papierblätter A4 blau bereithalten („mobile Phase“)</w:t>
      </w:r>
    </w:p>
    <w:p w:rsidR="0018755A" w:rsidRPr="00E72B68" w:rsidRDefault="0018755A" w:rsidP="00E72B68">
      <w:pPr>
        <w:pStyle w:val="Listenabsatz"/>
        <w:numPr>
          <w:ilvl w:val="0"/>
          <w:numId w:val="3"/>
        </w:numPr>
        <w:spacing w:after="0"/>
        <w:rPr>
          <w:sz w:val="24"/>
          <w:szCs w:val="24"/>
        </w:rPr>
      </w:pPr>
      <w:r w:rsidRPr="00E72B68">
        <w:rPr>
          <w:sz w:val="24"/>
          <w:szCs w:val="24"/>
        </w:rPr>
        <w:t>20 Lego Steine rot (Farbstoff 1, wandert schneller)</w:t>
      </w:r>
      <w:r w:rsidR="00E72B68" w:rsidRPr="00E72B68">
        <w:rPr>
          <w:sz w:val="24"/>
          <w:szCs w:val="24"/>
        </w:rPr>
        <w:t xml:space="preserve"> und </w:t>
      </w:r>
      <w:r w:rsidRPr="00E72B68">
        <w:rPr>
          <w:sz w:val="24"/>
          <w:szCs w:val="24"/>
        </w:rPr>
        <w:t>20 Lego Steine grün (Farbstoff 2, wandert langsamer)</w:t>
      </w:r>
      <w:r w:rsidR="00E72B68" w:rsidRPr="00E72B68">
        <w:rPr>
          <w:sz w:val="24"/>
          <w:szCs w:val="24"/>
        </w:rPr>
        <w:t xml:space="preserve"> auf das erste rote Papierblatt legen</w:t>
      </w:r>
    </w:p>
    <w:p w:rsidR="0018755A" w:rsidRDefault="0018755A" w:rsidP="0018755A">
      <w:pPr>
        <w:spacing w:after="0"/>
        <w:rPr>
          <w:sz w:val="24"/>
          <w:szCs w:val="24"/>
        </w:rPr>
      </w:pPr>
      <w:r>
        <w:rPr>
          <w:sz w:val="24"/>
          <w:szCs w:val="24"/>
        </w:rPr>
        <w:t>Am Startpunkt liegen 40 „Farbstoff“-Lego-Steine auf der „</w:t>
      </w:r>
      <w:r w:rsidR="00E72B68">
        <w:rPr>
          <w:sz w:val="24"/>
          <w:szCs w:val="24"/>
        </w:rPr>
        <w:t>stationären</w:t>
      </w:r>
      <w:r>
        <w:rPr>
          <w:sz w:val="24"/>
          <w:szCs w:val="24"/>
        </w:rPr>
        <w:t xml:space="preserve"> Phase“ am Startpunkt.</w:t>
      </w:r>
    </w:p>
    <w:p w:rsidR="0018755A" w:rsidRDefault="0018755A" w:rsidP="0018755A">
      <w:pPr>
        <w:spacing w:after="0"/>
        <w:rPr>
          <w:sz w:val="24"/>
          <w:szCs w:val="24"/>
        </w:rPr>
      </w:pPr>
      <w:r>
        <w:rPr>
          <w:sz w:val="24"/>
          <w:szCs w:val="24"/>
        </w:rPr>
        <w:t>Das erste blaue Papierblatt („mobile Phase“) erreicht den Startpunkt.</w:t>
      </w:r>
    </w:p>
    <w:p w:rsidR="0018755A" w:rsidRDefault="0018755A" w:rsidP="001875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Jetzt werden die „Farbstoff“-Teilchen auf die Phasen am Startpunkt verteilt, und zwar </w:t>
      </w:r>
      <w:r w:rsidR="00E72B68">
        <w:rPr>
          <w:sz w:val="24"/>
          <w:szCs w:val="24"/>
        </w:rPr>
        <w:t>stationär</w:t>
      </w:r>
      <w:r>
        <w:rPr>
          <w:sz w:val="24"/>
          <w:szCs w:val="24"/>
        </w:rPr>
        <w:t>/mobil im Verhältnis 1:3 (rote Steine) und 3:1 (grüne Steine)</w:t>
      </w:r>
      <w:r w:rsidR="00E72B68">
        <w:rPr>
          <w:sz w:val="24"/>
          <w:szCs w:val="24"/>
        </w:rPr>
        <w:t>.</w:t>
      </w:r>
    </w:p>
    <w:p w:rsidR="00E72B68" w:rsidRDefault="00E72B68" w:rsidP="001875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Es liegen also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auf dem ersten roten Blatt:</w:t>
      </w:r>
      <w:r>
        <w:rPr>
          <w:sz w:val="24"/>
          <w:szCs w:val="24"/>
        </w:rPr>
        <w:tab/>
        <w:t>5 rote Steine und 15 grüne Steine</w:t>
      </w:r>
    </w:p>
    <w:p w:rsidR="00E72B68" w:rsidRDefault="00E72B68" w:rsidP="00E72B68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und      auf dem ersten blauen Blatt: 15 rote Steine und 5 grüne Steine</w:t>
      </w:r>
    </w:p>
    <w:p w:rsidR="00655A5A" w:rsidRDefault="00655A5A" w:rsidP="00E72B68">
      <w:pPr>
        <w:spacing w:after="0"/>
        <w:ind w:left="708" w:firstLine="708"/>
        <w:rPr>
          <w:sz w:val="24"/>
          <w:szCs w:val="24"/>
        </w:rPr>
      </w:pPr>
    </w:p>
    <w:tbl>
      <w:tblPr>
        <w:tblStyle w:val="Tabellenraster"/>
        <w:tblW w:w="0" w:type="auto"/>
        <w:tblInd w:w="708" w:type="dxa"/>
        <w:tblLook w:val="04A0" w:firstRow="1" w:lastRow="0" w:firstColumn="1" w:lastColumn="0" w:noHBand="0" w:noVBand="1"/>
      </w:tblPr>
      <w:tblGrid>
        <w:gridCol w:w="970"/>
        <w:gridCol w:w="970"/>
        <w:gridCol w:w="971"/>
        <w:gridCol w:w="971"/>
        <w:gridCol w:w="972"/>
        <w:gridCol w:w="972"/>
        <w:gridCol w:w="972"/>
        <w:gridCol w:w="972"/>
        <w:gridCol w:w="972"/>
        <w:gridCol w:w="972"/>
      </w:tblGrid>
      <w:tr w:rsidR="00655A5A" w:rsidTr="00655A5A">
        <w:tc>
          <w:tcPr>
            <w:tcW w:w="970" w:type="dxa"/>
            <w:shd w:val="clear" w:color="auto" w:fill="E5B8B7" w:themeFill="accent2" w:themeFillTint="66"/>
          </w:tcPr>
          <w:p w:rsidR="00655A5A" w:rsidRPr="00655A5A" w:rsidRDefault="00655A5A" w:rsidP="00E72B68">
            <w:pPr>
              <w:rPr>
                <w:color w:val="00B05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5   </w:t>
            </w:r>
            <w:r>
              <w:rPr>
                <w:color w:val="00B050"/>
                <w:sz w:val="24"/>
                <w:szCs w:val="24"/>
              </w:rPr>
              <w:t>15</w:t>
            </w:r>
          </w:p>
          <w:p w:rsidR="00655A5A" w:rsidRDefault="00655A5A" w:rsidP="00E72B68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E5B8B7" w:themeFill="accent2" w:themeFillTint="66"/>
          </w:tcPr>
          <w:p w:rsidR="00655A5A" w:rsidRDefault="00655A5A" w:rsidP="00E72B68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E5B8B7" w:themeFill="accent2" w:themeFillTint="66"/>
          </w:tcPr>
          <w:p w:rsidR="00655A5A" w:rsidRDefault="00655A5A" w:rsidP="00E72B68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E5B8B7" w:themeFill="accent2" w:themeFillTint="66"/>
          </w:tcPr>
          <w:p w:rsidR="00655A5A" w:rsidRDefault="00655A5A" w:rsidP="00E72B68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E5B8B7" w:themeFill="accent2" w:themeFillTint="66"/>
          </w:tcPr>
          <w:p w:rsidR="00655A5A" w:rsidRDefault="00655A5A" w:rsidP="00E72B68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E5B8B7" w:themeFill="accent2" w:themeFillTint="66"/>
          </w:tcPr>
          <w:p w:rsidR="00655A5A" w:rsidRDefault="00655A5A" w:rsidP="00E72B68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E5B8B7" w:themeFill="accent2" w:themeFillTint="66"/>
          </w:tcPr>
          <w:p w:rsidR="00655A5A" w:rsidRDefault="00655A5A" w:rsidP="00E72B68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E5B8B7" w:themeFill="accent2" w:themeFillTint="66"/>
          </w:tcPr>
          <w:p w:rsidR="00655A5A" w:rsidRDefault="00655A5A" w:rsidP="00E72B68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E5B8B7" w:themeFill="accent2" w:themeFillTint="66"/>
          </w:tcPr>
          <w:p w:rsidR="00655A5A" w:rsidRDefault="00655A5A" w:rsidP="00E72B68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E5B8B7" w:themeFill="accent2" w:themeFillTint="66"/>
          </w:tcPr>
          <w:p w:rsidR="00655A5A" w:rsidRDefault="00655A5A" w:rsidP="00E72B68">
            <w:pPr>
              <w:rPr>
                <w:sz w:val="24"/>
                <w:szCs w:val="24"/>
              </w:rPr>
            </w:pPr>
          </w:p>
        </w:tc>
      </w:tr>
      <w:tr w:rsidR="00655A5A" w:rsidTr="00655A5A">
        <w:tc>
          <w:tcPr>
            <w:tcW w:w="970" w:type="dxa"/>
            <w:shd w:val="clear" w:color="auto" w:fill="C6D9F1" w:themeFill="text2" w:themeFillTint="33"/>
          </w:tcPr>
          <w:p w:rsidR="00655A5A" w:rsidRPr="00655A5A" w:rsidRDefault="00655A5A" w:rsidP="00E72B68">
            <w:pPr>
              <w:rPr>
                <w:color w:val="00B05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15   </w:t>
            </w:r>
            <w:r w:rsidRPr="00655A5A">
              <w:rPr>
                <w:color w:val="00B050"/>
                <w:sz w:val="24"/>
                <w:szCs w:val="24"/>
              </w:rPr>
              <w:t>5</w:t>
            </w:r>
          </w:p>
          <w:p w:rsidR="00655A5A" w:rsidRDefault="00655A5A" w:rsidP="00E72B68">
            <w:pPr>
              <w:rPr>
                <w:sz w:val="24"/>
                <w:szCs w:val="24"/>
              </w:rPr>
            </w:pPr>
          </w:p>
        </w:tc>
        <w:tc>
          <w:tcPr>
            <w:tcW w:w="8744" w:type="dxa"/>
            <w:gridSpan w:val="9"/>
          </w:tcPr>
          <w:p w:rsidR="00655A5A" w:rsidRDefault="00B6432A" w:rsidP="00E72B6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de-D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5.1pt;margin-top:15.45pt;width:25.65pt;height:0;z-index:251659264;mso-position-horizontal-relative:text;mso-position-vertical-relative:text" o:connectortype="straight" strokeweight="2.5pt">
                  <v:stroke endarrow="block"/>
                </v:shape>
              </w:pict>
            </w:r>
          </w:p>
        </w:tc>
      </w:tr>
    </w:tbl>
    <w:p w:rsidR="00655A5A" w:rsidRDefault="00655A5A" w:rsidP="00E72B68">
      <w:pPr>
        <w:spacing w:after="0"/>
        <w:ind w:left="708" w:firstLine="708"/>
        <w:rPr>
          <w:sz w:val="24"/>
          <w:szCs w:val="24"/>
        </w:rPr>
      </w:pPr>
    </w:p>
    <w:p w:rsidR="00E72B68" w:rsidRDefault="00E72B68" w:rsidP="00E72B68">
      <w:pPr>
        <w:spacing w:after="0"/>
        <w:rPr>
          <w:sz w:val="24"/>
          <w:szCs w:val="24"/>
        </w:rPr>
      </w:pPr>
      <w:r>
        <w:rPr>
          <w:sz w:val="24"/>
          <w:szCs w:val="24"/>
        </w:rPr>
        <w:t>Jetzt „wandert“ die mobile Phase einen Ort weiter. Am Startpunkt erscheint das nächste blaue Blatt.</w:t>
      </w:r>
    </w:p>
    <w:p w:rsidR="00655A5A" w:rsidRDefault="00655A5A" w:rsidP="00E72B68">
      <w:pPr>
        <w:spacing w:after="0"/>
        <w:rPr>
          <w:sz w:val="24"/>
          <w:szCs w:val="24"/>
        </w:rPr>
      </w:pPr>
      <w:r>
        <w:rPr>
          <w:sz w:val="24"/>
          <w:szCs w:val="24"/>
        </w:rPr>
        <w:t>Nun</w:t>
      </w:r>
      <w:r w:rsidR="00E72B68">
        <w:rPr>
          <w:sz w:val="24"/>
          <w:szCs w:val="24"/>
        </w:rPr>
        <w:t xml:space="preserve"> werden alle jeweils gegenüberliegenden Steine entsprechend des gegebenen Verhältnisses neu verteilt. </w:t>
      </w:r>
    </w:p>
    <w:tbl>
      <w:tblPr>
        <w:tblStyle w:val="Tabellenraster"/>
        <w:tblW w:w="0" w:type="auto"/>
        <w:tblInd w:w="708" w:type="dxa"/>
        <w:tblLook w:val="04A0" w:firstRow="1" w:lastRow="0" w:firstColumn="1" w:lastColumn="0" w:noHBand="0" w:noVBand="1"/>
      </w:tblPr>
      <w:tblGrid>
        <w:gridCol w:w="970"/>
        <w:gridCol w:w="970"/>
        <w:gridCol w:w="971"/>
        <w:gridCol w:w="971"/>
        <w:gridCol w:w="972"/>
        <w:gridCol w:w="972"/>
        <w:gridCol w:w="972"/>
        <w:gridCol w:w="972"/>
        <w:gridCol w:w="972"/>
        <w:gridCol w:w="972"/>
      </w:tblGrid>
      <w:tr w:rsidR="00655A5A" w:rsidTr="0088618C">
        <w:tc>
          <w:tcPr>
            <w:tcW w:w="970" w:type="dxa"/>
            <w:shd w:val="clear" w:color="auto" w:fill="E5B8B7" w:themeFill="accent2" w:themeFillTint="66"/>
          </w:tcPr>
          <w:p w:rsidR="00655A5A" w:rsidRPr="00655A5A" w:rsidRDefault="00655A5A" w:rsidP="0088618C">
            <w:pPr>
              <w:rPr>
                <w:color w:val="00B05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1   </w:t>
            </w:r>
            <w:r w:rsidR="00580A4E">
              <w:rPr>
                <w:color w:val="00B050"/>
                <w:sz w:val="24"/>
                <w:szCs w:val="24"/>
              </w:rPr>
              <w:t>11</w:t>
            </w:r>
          </w:p>
          <w:p w:rsidR="00655A5A" w:rsidRDefault="00655A5A" w:rsidP="0088618C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E5B8B7" w:themeFill="accent2" w:themeFillTint="66"/>
          </w:tcPr>
          <w:p w:rsidR="00655A5A" w:rsidRPr="00580A4E" w:rsidRDefault="00580A4E" w:rsidP="0088618C">
            <w:pPr>
              <w:rPr>
                <w:color w:val="00B050"/>
                <w:sz w:val="24"/>
                <w:szCs w:val="24"/>
              </w:rPr>
            </w:pPr>
            <w:r w:rsidRPr="00580A4E">
              <w:rPr>
                <w:color w:val="FF0000"/>
                <w:sz w:val="24"/>
                <w:szCs w:val="24"/>
              </w:rPr>
              <w:t>4</w:t>
            </w:r>
            <w:r>
              <w:rPr>
                <w:color w:val="FF0000"/>
                <w:sz w:val="24"/>
                <w:szCs w:val="24"/>
              </w:rPr>
              <w:t xml:space="preserve">     </w:t>
            </w:r>
            <w:r>
              <w:rPr>
                <w:color w:val="00B050"/>
                <w:sz w:val="24"/>
                <w:szCs w:val="24"/>
              </w:rPr>
              <w:t>4</w:t>
            </w:r>
          </w:p>
        </w:tc>
        <w:tc>
          <w:tcPr>
            <w:tcW w:w="971" w:type="dxa"/>
            <w:shd w:val="clear" w:color="auto" w:fill="E5B8B7" w:themeFill="accent2" w:themeFillTint="66"/>
          </w:tcPr>
          <w:p w:rsidR="00655A5A" w:rsidRDefault="00655A5A" w:rsidP="0088618C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E5B8B7" w:themeFill="accent2" w:themeFillTint="66"/>
          </w:tcPr>
          <w:p w:rsidR="00655A5A" w:rsidRDefault="00655A5A" w:rsidP="0088618C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E5B8B7" w:themeFill="accent2" w:themeFillTint="66"/>
          </w:tcPr>
          <w:p w:rsidR="00655A5A" w:rsidRDefault="00655A5A" w:rsidP="0088618C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E5B8B7" w:themeFill="accent2" w:themeFillTint="66"/>
          </w:tcPr>
          <w:p w:rsidR="00655A5A" w:rsidRDefault="00655A5A" w:rsidP="0088618C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E5B8B7" w:themeFill="accent2" w:themeFillTint="66"/>
          </w:tcPr>
          <w:p w:rsidR="00655A5A" w:rsidRDefault="00655A5A" w:rsidP="0088618C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E5B8B7" w:themeFill="accent2" w:themeFillTint="66"/>
          </w:tcPr>
          <w:p w:rsidR="00655A5A" w:rsidRDefault="00655A5A" w:rsidP="0088618C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E5B8B7" w:themeFill="accent2" w:themeFillTint="66"/>
          </w:tcPr>
          <w:p w:rsidR="00655A5A" w:rsidRDefault="00655A5A" w:rsidP="0088618C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E5B8B7" w:themeFill="accent2" w:themeFillTint="66"/>
          </w:tcPr>
          <w:p w:rsidR="00655A5A" w:rsidRDefault="00655A5A" w:rsidP="0088618C">
            <w:pPr>
              <w:rPr>
                <w:sz w:val="24"/>
                <w:szCs w:val="24"/>
              </w:rPr>
            </w:pPr>
          </w:p>
        </w:tc>
      </w:tr>
      <w:tr w:rsidR="00655A5A" w:rsidTr="00655A5A">
        <w:tc>
          <w:tcPr>
            <w:tcW w:w="970" w:type="dxa"/>
            <w:shd w:val="clear" w:color="auto" w:fill="C6D9F1" w:themeFill="text2" w:themeFillTint="33"/>
          </w:tcPr>
          <w:p w:rsidR="00655A5A" w:rsidRPr="00655A5A" w:rsidRDefault="00655A5A" w:rsidP="00580A4E">
            <w:pPr>
              <w:rPr>
                <w:color w:val="00B050"/>
                <w:sz w:val="24"/>
                <w:szCs w:val="24"/>
              </w:rPr>
            </w:pPr>
            <w:r w:rsidRPr="00655A5A">
              <w:rPr>
                <w:color w:val="FF0000"/>
                <w:sz w:val="24"/>
                <w:szCs w:val="24"/>
              </w:rPr>
              <w:t>4</w:t>
            </w:r>
            <w:r>
              <w:rPr>
                <w:color w:val="FF0000"/>
                <w:sz w:val="24"/>
                <w:szCs w:val="24"/>
              </w:rPr>
              <w:t xml:space="preserve">    </w:t>
            </w:r>
            <w:r w:rsidR="00580A4E">
              <w:rPr>
                <w:color w:val="00B050"/>
                <w:sz w:val="24"/>
                <w:szCs w:val="24"/>
              </w:rPr>
              <w:t>4</w:t>
            </w:r>
          </w:p>
        </w:tc>
        <w:tc>
          <w:tcPr>
            <w:tcW w:w="970" w:type="dxa"/>
            <w:shd w:val="clear" w:color="auto" w:fill="C6D9F1" w:themeFill="text2" w:themeFillTint="33"/>
          </w:tcPr>
          <w:p w:rsidR="00655A5A" w:rsidRPr="00655A5A" w:rsidRDefault="00580A4E" w:rsidP="00655A5A">
            <w:pPr>
              <w:rPr>
                <w:color w:val="00B05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11</w:t>
            </w:r>
            <w:r w:rsidR="00655A5A">
              <w:rPr>
                <w:color w:val="FF0000"/>
                <w:sz w:val="24"/>
                <w:szCs w:val="24"/>
              </w:rPr>
              <w:t xml:space="preserve">   </w:t>
            </w:r>
            <w:r>
              <w:rPr>
                <w:color w:val="00B050"/>
                <w:sz w:val="24"/>
                <w:szCs w:val="24"/>
              </w:rPr>
              <w:t>1</w:t>
            </w:r>
          </w:p>
          <w:p w:rsidR="00655A5A" w:rsidRDefault="00655A5A" w:rsidP="0088618C">
            <w:pPr>
              <w:rPr>
                <w:sz w:val="24"/>
                <w:szCs w:val="24"/>
              </w:rPr>
            </w:pPr>
          </w:p>
        </w:tc>
        <w:tc>
          <w:tcPr>
            <w:tcW w:w="7774" w:type="dxa"/>
            <w:gridSpan w:val="8"/>
          </w:tcPr>
          <w:p w:rsidR="00655A5A" w:rsidRDefault="00B6432A" w:rsidP="0088618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de-DE"/>
              </w:rPr>
              <w:pict>
                <v:shape id="_x0000_s1026" type="#_x0000_t32" style="position:absolute;margin-left:-5.45pt;margin-top:17pt;width:25.65pt;height:0;z-index:251658240;mso-position-horizontal-relative:text;mso-position-vertical-relative:text" o:connectortype="straight" strokeweight="2.5pt">
                  <v:stroke endarrow="block"/>
                </v:shape>
              </w:pict>
            </w:r>
          </w:p>
        </w:tc>
      </w:tr>
    </w:tbl>
    <w:p w:rsidR="00655A5A" w:rsidRDefault="00655A5A" w:rsidP="00E72B68">
      <w:pPr>
        <w:spacing w:after="0"/>
        <w:rPr>
          <w:sz w:val="24"/>
          <w:szCs w:val="24"/>
        </w:rPr>
      </w:pPr>
    </w:p>
    <w:p w:rsidR="00655A5A" w:rsidRDefault="00655A5A" w:rsidP="00E72B68">
      <w:pPr>
        <w:spacing w:after="0"/>
        <w:rPr>
          <w:sz w:val="24"/>
          <w:szCs w:val="24"/>
        </w:rPr>
      </w:pPr>
    </w:p>
    <w:p w:rsidR="00E72B68" w:rsidRDefault="00E72B68" w:rsidP="00E72B6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Das</w:t>
      </w:r>
      <w:proofErr w:type="gramEnd"/>
      <w:r>
        <w:rPr>
          <w:sz w:val="24"/>
          <w:szCs w:val="24"/>
        </w:rPr>
        <w:t xml:space="preserve"> Prozedere wird wiederholt, bis die „Laufmittelfront“ am Ende der „stationären Phase“ angekommen ist. Im Einzelfall muss beim Verteilen um einen Stein gerundet werden.</w:t>
      </w:r>
      <w:r w:rsidR="00580A4E">
        <w:rPr>
          <w:sz w:val="24"/>
          <w:szCs w:val="24"/>
        </w:rPr>
        <w:t xml:space="preserve"> </w:t>
      </w:r>
      <w:r w:rsidR="00580A4E">
        <w:rPr>
          <w:sz w:val="24"/>
          <w:szCs w:val="24"/>
        </w:rPr>
        <w:br/>
        <w:t>ACHTUNG: Es müssen immer alle gegenüber zu liegen kommenden Steine neu verteilt werden.</w:t>
      </w:r>
    </w:p>
    <w:p w:rsidR="00E72B68" w:rsidRDefault="00E72B68" w:rsidP="00E72B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Es ergibt sich ein nachhaltiger </w:t>
      </w:r>
      <w:r w:rsidR="00580A4E">
        <w:rPr>
          <w:sz w:val="24"/>
          <w:szCs w:val="24"/>
        </w:rPr>
        <w:t>Lerneffekt</w:t>
      </w:r>
      <w:r>
        <w:rPr>
          <w:sz w:val="24"/>
          <w:szCs w:val="24"/>
        </w:rPr>
        <w:t xml:space="preserve"> vom Grundprinzip der Verteilungschromatografie.</w:t>
      </w:r>
    </w:p>
    <w:p w:rsidR="00580A4E" w:rsidRDefault="00580A4E" w:rsidP="00E72B68">
      <w:pPr>
        <w:spacing w:after="0"/>
        <w:rPr>
          <w:sz w:val="24"/>
          <w:szCs w:val="24"/>
        </w:rPr>
      </w:pPr>
    </w:p>
    <w:p w:rsidR="00580A4E" w:rsidRDefault="00580A4E" w:rsidP="00E72B68">
      <w:pPr>
        <w:spacing w:after="0"/>
        <w:rPr>
          <w:sz w:val="24"/>
          <w:szCs w:val="24"/>
        </w:rPr>
      </w:pPr>
    </w:p>
    <w:p w:rsidR="00580A4E" w:rsidRDefault="00580A4E" w:rsidP="00E72B68">
      <w:pPr>
        <w:spacing w:after="0"/>
        <w:rPr>
          <w:sz w:val="24"/>
          <w:szCs w:val="24"/>
        </w:rPr>
      </w:pPr>
    </w:p>
    <w:p w:rsidR="00580A4E" w:rsidRDefault="00580A4E" w:rsidP="00E72B68">
      <w:pPr>
        <w:spacing w:after="0"/>
        <w:rPr>
          <w:sz w:val="24"/>
          <w:szCs w:val="24"/>
        </w:rPr>
      </w:pPr>
    </w:p>
    <w:p w:rsidR="00580A4E" w:rsidRDefault="00580A4E" w:rsidP="00E72B68">
      <w:pPr>
        <w:spacing w:after="0"/>
        <w:rPr>
          <w:sz w:val="24"/>
          <w:szCs w:val="24"/>
        </w:rPr>
      </w:pPr>
    </w:p>
    <w:p w:rsidR="00580A4E" w:rsidRDefault="00580A4E" w:rsidP="00E72B68">
      <w:pPr>
        <w:spacing w:after="0"/>
        <w:rPr>
          <w:sz w:val="24"/>
          <w:szCs w:val="24"/>
        </w:rPr>
      </w:pPr>
    </w:p>
    <w:p w:rsidR="00580A4E" w:rsidRDefault="00580A4E" w:rsidP="00E72B68">
      <w:pPr>
        <w:spacing w:after="0"/>
        <w:rPr>
          <w:sz w:val="24"/>
          <w:szCs w:val="24"/>
        </w:rPr>
      </w:pPr>
    </w:p>
    <w:p w:rsidR="00580A4E" w:rsidRDefault="00580A4E" w:rsidP="00E72B68">
      <w:pPr>
        <w:spacing w:after="0"/>
        <w:rPr>
          <w:sz w:val="24"/>
          <w:szCs w:val="24"/>
        </w:rPr>
      </w:pPr>
    </w:p>
    <w:p w:rsidR="00580A4E" w:rsidRDefault="00580A4E" w:rsidP="00E72B68">
      <w:pPr>
        <w:spacing w:after="0"/>
        <w:rPr>
          <w:sz w:val="24"/>
          <w:szCs w:val="24"/>
        </w:rPr>
      </w:pPr>
    </w:p>
    <w:p w:rsidR="00580A4E" w:rsidRDefault="00580A4E" w:rsidP="00E72B68">
      <w:pPr>
        <w:spacing w:after="0"/>
        <w:rPr>
          <w:sz w:val="24"/>
          <w:szCs w:val="24"/>
        </w:rPr>
      </w:pPr>
    </w:p>
    <w:p w:rsidR="00580A4E" w:rsidRDefault="00580A4E" w:rsidP="00E72B68">
      <w:pPr>
        <w:spacing w:after="0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06"/>
        <w:gridCol w:w="708"/>
      </w:tblGrid>
      <w:tr w:rsidR="00580A4E" w:rsidRPr="00BC5E70" w:rsidTr="00580A4E">
        <w:trPr>
          <w:trHeight w:hRule="exact" w:val="1005"/>
        </w:trPr>
        <w:tc>
          <w:tcPr>
            <w:tcW w:w="9606" w:type="dxa"/>
            <w:vAlign w:val="center"/>
          </w:tcPr>
          <w:p w:rsidR="00580A4E" w:rsidRDefault="00580A4E" w:rsidP="0088618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Üben mit Experimenten - Verschiedene Übungsformate</w:t>
            </w:r>
            <w:r w:rsidRPr="001C46A7">
              <w:rPr>
                <w:b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58"/>
            </w:tblGrid>
            <w:tr w:rsidR="00580A4E" w:rsidTr="0088618C">
              <w:trPr>
                <w:trHeight w:val="244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7742"/>
                  </w:tblGrid>
                  <w:tr w:rsidR="00580A4E" w:rsidTr="0088618C">
                    <w:trPr>
                      <w:trHeight w:val="379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7526"/>
                        </w:tblGrid>
                        <w:tr w:rsidR="00580A4E">
                          <w:trPr>
                            <w:trHeight w:val="243"/>
                          </w:trPr>
                          <w:tc>
                            <w:tcPr>
                              <w:tcW w:w="0" w:type="auto"/>
                            </w:tcPr>
                            <w:p w:rsidR="00580A4E" w:rsidRPr="00580A4E" w:rsidRDefault="00580A4E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80A4E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580A4E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Exp</w:t>
                              </w:r>
                              <w:proofErr w:type="spellEnd"/>
                              <w:r w:rsidRPr="00580A4E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.: </w:t>
                              </w:r>
                              <w:r w:rsidRPr="00580A4E">
                                <w:rPr>
                                  <w:sz w:val="28"/>
                                  <w:szCs w:val="28"/>
                                </w:rPr>
                                <w:t xml:space="preserve">pH-Wert wässriger Lösungen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/ </w:t>
                              </w:r>
                              <w:r w:rsidRPr="00580A4E">
                                <w:rPr>
                                  <w:sz w:val="28"/>
                                  <w:szCs w:val="28"/>
                                </w:rPr>
                                <w:t xml:space="preserve">Autoprotolyse des Wassers </w:t>
                              </w:r>
                            </w:p>
                            <w:p w:rsidR="00580A4E" w:rsidRDefault="00580A4E">
                              <w:pPr>
                                <w:pStyle w:val="Default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580A4E" w:rsidRPr="005B26E5" w:rsidRDefault="00580A4E" w:rsidP="0088618C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80A4E" w:rsidRDefault="00580A4E" w:rsidP="0088618C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580A4E" w:rsidTr="0088618C">
              <w:trPr>
                <w:trHeight w:val="244"/>
              </w:trPr>
              <w:tc>
                <w:tcPr>
                  <w:tcW w:w="0" w:type="auto"/>
                </w:tcPr>
                <w:p w:rsidR="00580A4E" w:rsidRDefault="00580A4E" w:rsidP="0088618C">
                  <w:pPr>
                    <w:pStyle w:val="Default"/>
                  </w:pPr>
                  <w:r>
                    <w:t xml:space="preserve">  </w:t>
                  </w:r>
                </w:p>
              </w:tc>
            </w:tr>
          </w:tbl>
          <w:p w:rsidR="00580A4E" w:rsidRDefault="00580A4E" w:rsidP="0088618C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580A4E" w:rsidRPr="001C46A7" w:rsidRDefault="00580A4E" w:rsidP="0088618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580A4E" w:rsidRPr="00BC5E70" w:rsidRDefault="00580A4E" w:rsidP="0088618C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Ü 2</w:t>
            </w:r>
          </w:p>
        </w:tc>
      </w:tr>
    </w:tbl>
    <w:p w:rsidR="00580A4E" w:rsidRDefault="00580A4E" w:rsidP="00580A4E">
      <w:pPr>
        <w:pStyle w:val="Default"/>
      </w:pPr>
    </w:p>
    <w:p w:rsidR="00A730A2" w:rsidRDefault="0081398E" w:rsidP="00580A4E">
      <w:pPr>
        <w:pStyle w:val="Default"/>
      </w:pPr>
      <w:r>
        <w:t xml:space="preserve">Zur nachhaltigen Darstellung der logarithmischen Skala der pH-Stufen (Verdünnung von Salzsäure bzw. Natronlauge mit je c=1 </w:t>
      </w:r>
      <w:proofErr w:type="spellStart"/>
      <w:r>
        <w:t>mol</w:t>
      </w:r>
      <w:proofErr w:type="spellEnd"/>
      <w:r>
        <w:t xml:space="preserve"> L</w:t>
      </w:r>
      <w:r>
        <w:rPr>
          <w:vertAlign w:val="superscript"/>
        </w:rPr>
        <w:t>-1</w:t>
      </w:r>
      <w:r>
        <w:t>)  ist diese Verdünnungsreihe bestens geeignet.</w:t>
      </w:r>
    </w:p>
    <w:p w:rsidR="0081398E" w:rsidRDefault="0081398E" w:rsidP="00580A4E">
      <w:pPr>
        <w:pStyle w:val="Default"/>
      </w:pPr>
    </w:p>
    <w:p w:rsidR="0081398E" w:rsidRDefault="0081398E" w:rsidP="00580A4E">
      <w:pPr>
        <w:pStyle w:val="Default"/>
      </w:pPr>
      <w:r>
        <w:t>Dabei wird mit einer 10mL-Spritze zügig von einem Becherglas zum nächsten verdünnt.</w:t>
      </w:r>
    </w:p>
    <w:p w:rsidR="0081398E" w:rsidRDefault="0081398E" w:rsidP="00580A4E">
      <w:pPr>
        <w:pStyle w:val="Default"/>
      </w:pPr>
      <w:r>
        <w:t xml:space="preserve">Salzsäure  (ganz links stehend) </w:t>
      </w:r>
      <w:r>
        <w:tab/>
        <w:t>7x nach rechts</w:t>
      </w:r>
    </w:p>
    <w:p w:rsidR="00A730A2" w:rsidRDefault="0081398E" w:rsidP="00580A4E">
      <w:pPr>
        <w:pStyle w:val="Default"/>
      </w:pPr>
      <w:r>
        <w:t xml:space="preserve">Natronlauge (ganz rechts stehend) </w:t>
      </w:r>
      <w:r>
        <w:tab/>
        <w:t>7x nach links</w:t>
      </w:r>
    </w:p>
    <w:tbl>
      <w:tblPr>
        <w:tblpPr w:leftFromText="141" w:rightFromText="141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62"/>
      </w:tblGrid>
      <w:tr w:rsidR="00580A4E" w:rsidRPr="00580A4E" w:rsidTr="00580A4E">
        <w:trPr>
          <w:trHeight w:val="243"/>
        </w:trPr>
        <w:tc>
          <w:tcPr>
            <w:tcW w:w="5562" w:type="dxa"/>
          </w:tcPr>
          <w:p w:rsidR="00580A4E" w:rsidRPr="00580A4E" w:rsidRDefault="00580A4E" w:rsidP="00580A4E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:rsidR="00A730A2" w:rsidRPr="00AA56AD" w:rsidRDefault="00580A4E" w:rsidP="00A730A2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br w:type="textWrapping" w:clear="all"/>
      </w:r>
      <w:r w:rsidR="00A730A2" w:rsidRPr="00AA56AD">
        <w:rPr>
          <w:sz w:val="24"/>
          <w:szCs w:val="24"/>
          <w:u w:val="single"/>
        </w:rPr>
        <w:t>Geräte und Chemikalien</w:t>
      </w:r>
    </w:p>
    <w:p w:rsidR="00A730A2" w:rsidRDefault="00A730A2" w:rsidP="00A730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Becherglas 1,5 L, gefüllt mit Leitungswasser und zugesetztem </w:t>
      </w:r>
      <w:proofErr w:type="spellStart"/>
      <w:r>
        <w:rPr>
          <w:sz w:val="24"/>
          <w:szCs w:val="24"/>
        </w:rPr>
        <w:t>Unisol</w:t>
      </w:r>
      <w:proofErr w:type="spellEnd"/>
      <w:r>
        <w:rPr>
          <w:sz w:val="24"/>
          <w:szCs w:val="24"/>
        </w:rPr>
        <w:t>®</w:t>
      </w:r>
    </w:p>
    <w:p w:rsidR="00A730A2" w:rsidRDefault="00A730A2" w:rsidP="00A730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Messzylinder 100 </w:t>
      </w:r>
      <w:proofErr w:type="spellStart"/>
      <w:r>
        <w:rPr>
          <w:sz w:val="24"/>
          <w:szCs w:val="24"/>
        </w:rPr>
        <w:t>mL</w:t>
      </w:r>
      <w:proofErr w:type="spellEnd"/>
    </w:p>
    <w:p w:rsidR="00A730A2" w:rsidRDefault="00A730A2" w:rsidP="00A730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15 Bechergläser 150 </w:t>
      </w:r>
      <w:proofErr w:type="spellStart"/>
      <w:r>
        <w:rPr>
          <w:sz w:val="24"/>
          <w:szCs w:val="24"/>
        </w:rPr>
        <w:t>mL</w:t>
      </w:r>
      <w:proofErr w:type="spellEnd"/>
      <w:r>
        <w:rPr>
          <w:sz w:val="24"/>
          <w:szCs w:val="24"/>
        </w:rPr>
        <w:t xml:space="preserve"> hohe Form</w:t>
      </w:r>
    </w:p>
    <w:p w:rsidR="00A730A2" w:rsidRDefault="00A730A2" w:rsidP="00A730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100 </w:t>
      </w:r>
      <w:proofErr w:type="spellStart"/>
      <w:r>
        <w:rPr>
          <w:sz w:val="24"/>
          <w:szCs w:val="24"/>
        </w:rPr>
        <w:t>mL</w:t>
      </w:r>
      <w:proofErr w:type="spellEnd"/>
      <w:r>
        <w:rPr>
          <w:sz w:val="24"/>
          <w:szCs w:val="24"/>
        </w:rPr>
        <w:t xml:space="preserve"> Salzsäure (c= 1mol </w:t>
      </w:r>
      <w:r>
        <w:rPr>
          <w:rFonts w:ascii="Cambria Math" w:hAnsi="Cambria Math"/>
          <w:sz w:val="24"/>
          <w:szCs w:val="24"/>
        </w:rPr>
        <w:t>·</w:t>
      </w:r>
      <w:r>
        <w:rPr>
          <w:sz w:val="24"/>
          <w:szCs w:val="24"/>
        </w:rPr>
        <w:t xml:space="preserve"> L</w:t>
      </w:r>
      <w:r>
        <w:rPr>
          <w:sz w:val="24"/>
          <w:szCs w:val="24"/>
          <w:vertAlign w:val="superscript"/>
        </w:rPr>
        <w:t>-1</w:t>
      </w:r>
      <w:r>
        <w:rPr>
          <w:sz w:val="24"/>
          <w:szCs w:val="24"/>
        </w:rPr>
        <w:t xml:space="preserve">) </w:t>
      </w:r>
    </w:p>
    <w:p w:rsidR="00A730A2" w:rsidRDefault="00A730A2" w:rsidP="00A730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100 </w:t>
      </w:r>
      <w:proofErr w:type="spellStart"/>
      <w:r>
        <w:rPr>
          <w:sz w:val="24"/>
          <w:szCs w:val="24"/>
        </w:rPr>
        <w:t>mL</w:t>
      </w:r>
      <w:proofErr w:type="spellEnd"/>
      <w:r>
        <w:rPr>
          <w:sz w:val="24"/>
          <w:szCs w:val="24"/>
        </w:rPr>
        <w:t xml:space="preserve"> Natronlauge (c= 1mol </w:t>
      </w:r>
      <w:r>
        <w:rPr>
          <w:rFonts w:ascii="Cambria Math" w:hAnsi="Cambria Math"/>
          <w:sz w:val="24"/>
          <w:szCs w:val="24"/>
        </w:rPr>
        <w:t>·</w:t>
      </w:r>
      <w:r>
        <w:rPr>
          <w:sz w:val="24"/>
          <w:szCs w:val="24"/>
        </w:rPr>
        <w:t xml:space="preserve"> L</w:t>
      </w:r>
      <w:r>
        <w:rPr>
          <w:sz w:val="24"/>
          <w:szCs w:val="24"/>
          <w:vertAlign w:val="superscript"/>
        </w:rPr>
        <w:t>-1</w:t>
      </w:r>
      <w:r>
        <w:rPr>
          <w:sz w:val="24"/>
          <w:szCs w:val="24"/>
        </w:rPr>
        <w:t>)</w:t>
      </w:r>
    </w:p>
    <w:p w:rsidR="00A730A2" w:rsidRDefault="00A730A2" w:rsidP="00A730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Medizintechnikspritze 10 </w:t>
      </w:r>
      <w:proofErr w:type="spellStart"/>
      <w:r>
        <w:rPr>
          <w:sz w:val="24"/>
          <w:szCs w:val="24"/>
        </w:rPr>
        <w:t>mL</w:t>
      </w:r>
      <w:proofErr w:type="spellEnd"/>
    </w:p>
    <w:p w:rsidR="00E865FA" w:rsidRDefault="00E865FA" w:rsidP="00E865FA">
      <w:pPr>
        <w:rPr>
          <w:sz w:val="24"/>
          <w:szCs w:val="24"/>
        </w:rPr>
      </w:pPr>
    </w:p>
    <w:p w:rsidR="0081398E" w:rsidRDefault="0081398E" w:rsidP="00E865FA">
      <w:pPr>
        <w:rPr>
          <w:sz w:val="24"/>
          <w:szCs w:val="24"/>
        </w:rPr>
      </w:pPr>
      <w:r>
        <w:rPr>
          <w:sz w:val="24"/>
          <w:szCs w:val="24"/>
        </w:rPr>
        <w:t xml:space="preserve">Dabei kann man zunächst nur die Salzsäure durchverdünnen (ab der Mitte ändert sich nichts </w:t>
      </w:r>
      <w:proofErr w:type="gramStart"/>
      <w:r>
        <w:rPr>
          <w:sz w:val="24"/>
          <w:szCs w:val="24"/>
        </w:rPr>
        <w:t>mehr ???</w:t>
      </w:r>
      <w:proofErr w:type="gramEnd"/>
      <w:r>
        <w:rPr>
          <w:sz w:val="24"/>
          <w:szCs w:val="24"/>
        </w:rPr>
        <w:t>), und dann erst mit der Natronlauge zurück verdünnen. Auf die Art und Weise kann die Autoprotolyse des Wassers experimentell erarbeitet werden (</w:t>
      </w:r>
      <w:proofErr w:type="spellStart"/>
      <w:r>
        <w:rPr>
          <w:sz w:val="24"/>
          <w:szCs w:val="24"/>
        </w:rPr>
        <w:t>Oxonium</w:t>
      </w:r>
      <w:proofErr w:type="spellEnd"/>
      <w:r>
        <w:rPr>
          <w:sz w:val="24"/>
          <w:szCs w:val="24"/>
        </w:rPr>
        <w:t>-Ionen müssen vom Wasser selbst gebildet werden, wenn sich ihre Konzentration durch Verdünnung nicht mehr ändert!)</w:t>
      </w:r>
    </w:p>
    <w:p w:rsidR="0081398E" w:rsidRDefault="0081398E" w:rsidP="00E865FA">
      <w:pPr>
        <w:rPr>
          <w:sz w:val="24"/>
          <w:szCs w:val="24"/>
        </w:rPr>
      </w:pPr>
    </w:p>
    <w:p w:rsidR="0081398E" w:rsidRDefault="0081398E" w:rsidP="00E865FA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inline distT="0" distB="0" distL="0" distR="0">
            <wp:extent cx="6480810" cy="108775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dünnungsreihe pH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5FA" w:rsidRDefault="0081398E" w:rsidP="00E865FA">
      <w:pPr>
        <w:rPr>
          <w:sz w:val="24"/>
          <w:szCs w:val="24"/>
        </w:rPr>
      </w:pPr>
      <w:r>
        <w:rPr>
          <w:sz w:val="24"/>
          <w:szCs w:val="24"/>
        </w:rPr>
        <w:t>Abb. Abschlussbild nach beiden Verdünnungsschritten</w:t>
      </w:r>
    </w:p>
    <w:p w:rsidR="0081398E" w:rsidRDefault="0081398E" w:rsidP="00E865FA">
      <w:pPr>
        <w:rPr>
          <w:sz w:val="24"/>
          <w:szCs w:val="24"/>
        </w:rPr>
      </w:pPr>
    </w:p>
    <w:p w:rsidR="0081398E" w:rsidRPr="0081398E" w:rsidRDefault="0081398E" w:rsidP="00813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rPr>
          <w:b/>
          <w:sz w:val="24"/>
          <w:szCs w:val="24"/>
        </w:rPr>
      </w:pPr>
      <w:r w:rsidRPr="0081398E">
        <w:rPr>
          <w:b/>
          <w:sz w:val="24"/>
          <w:szCs w:val="24"/>
        </w:rPr>
        <w:t xml:space="preserve">Aufgabe: </w:t>
      </w:r>
    </w:p>
    <w:p w:rsidR="0081398E" w:rsidRDefault="0081398E" w:rsidP="00813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rPr>
          <w:sz w:val="24"/>
          <w:szCs w:val="24"/>
        </w:rPr>
      </w:pPr>
      <w:r>
        <w:rPr>
          <w:sz w:val="24"/>
          <w:szCs w:val="24"/>
        </w:rPr>
        <w:t>An diesem Experiment soll das Formulieren von begründeten Hypothesen geübt werden.</w:t>
      </w:r>
    </w:p>
    <w:p w:rsidR="0081398E" w:rsidRDefault="0081398E" w:rsidP="00813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rPr>
          <w:sz w:val="24"/>
          <w:szCs w:val="24"/>
        </w:rPr>
      </w:pPr>
      <w:r>
        <w:rPr>
          <w:sz w:val="24"/>
          <w:szCs w:val="24"/>
        </w:rPr>
        <w:t>Formulieren Sie entsprechende Arbeitsaufträge und Aufgaben.</w:t>
      </w:r>
    </w:p>
    <w:p w:rsidR="0081398E" w:rsidRDefault="0081398E" w:rsidP="0081398E">
      <w:pPr>
        <w:spacing w:after="0"/>
        <w:rPr>
          <w:sz w:val="24"/>
          <w:szCs w:val="24"/>
        </w:rPr>
      </w:pPr>
    </w:p>
    <w:p w:rsidR="0081398E" w:rsidRDefault="0081398E" w:rsidP="0081398E">
      <w:pPr>
        <w:spacing w:after="0"/>
        <w:rPr>
          <w:sz w:val="24"/>
          <w:szCs w:val="24"/>
        </w:rPr>
      </w:pPr>
    </w:p>
    <w:p w:rsidR="0081398E" w:rsidRDefault="0081398E" w:rsidP="0081398E">
      <w:pPr>
        <w:spacing w:after="0"/>
        <w:rPr>
          <w:sz w:val="24"/>
          <w:szCs w:val="24"/>
        </w:rPr>
      </w:pPr>
    </w:p>
    <w:p w:rsidR="0081398E" w:rsidRDefault="0081398E" w:rsidP="0081398E">
      <w:pPr>
        <w:spacing w:after="0"/>
        <w:rPr>
          <w:sz w:val="24"/>
          <w:szCs w:val="24"/>
        </w:rPr>
      </w:pPr>
    </w:p>
    <w:p w:rsidR="0081398E" w:rsidRDefault="0081398E" w:rsidP="0081398E">
      <w:pPr>
        <w:spacing w:after="0"/>
        <w:rPr>
          <w:sz w:val="24"/>
          <w:szCs w:val="24"/>
        </w:rPr>
      </w:pPr>
    </w:p>
    <w:p w:rsidR="0081398E" w:rsidRDefault="0081398E" w:rsidP="0081398E">
      <w:pPr>
        <w:spacing w:after="0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06"/>
        <w:gridCol w:w="708"/>
      </w:tblGrid>
      <w:tr w:rsidR="00981FBF" w:rsidRPr="00BC5E70" w:rsidTr="00CE6CEA">
        <w:trPr>
          <w:trHeight w:hRule="exact" w:val="1146"/>
        </w:trPr>
        <w:tc>
          <w:tcPr>
            <w:tcW w:w="9606" w:type="dxa"/>
            <w:vAlign w:val="center"/>
          </w:tcPr>
          <w:p w:rsidR="00B5609C" w:rsidRDefault="00981FBF" w:rsidP="00B5609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Üben mit Experimenten - Verschiedene Übungsformate</w:t>
            </w:r>
          </w:p>
          <w:tbl>
            <w:tblPr>
              <w:tblW w:w="939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90"/>
            </w:tblGrid>
            <w:tr w:rsidR="00B5609C" w:rsidRPr="00B5609C" w:rsidTr="00B5609C">
              <w:trPr>
                <w:trHeight w:val="859"/>
              </w:trPr>
              <w:tc>
                <w:tcPr>
                  <w:tcW w:w="0" w:type="auto"/>
                </w:tcPr>
                <w:p w:rsidR="00B5609C" w:rsidRPr="00B5609C" w:rsidRDefault="00B5609C" w:rsidP="00B5609C">
                  <w:pPr>
                    <w:pStyle w:val="Default"/>
                    <w:rPr>
                      <w:sz w:val="28"/>
                      <w:szCs w:val="28"/>
                    </w:rPr>
                  </w:pPr>
                  <w:proofErr w:type="spellStart"/>
                  <w:r w:rsidRPr="00B5609C">
                    <w:rPr>
                      <w:b/>
                      <w:bCs/>
                      <w:sz w:val="28"/>
                      <w:szCs w:val="28"/>
                    </w:rPr>
                    <w:t>Exp</w:t>
                  </w:r>
                  <w:proofErr w:type="spellEnd"/>
                  <w:r w:rsidRPr="00B5609C">
                    <w:rPr>
                      <w:b/>
                      <w:bCs/>
                      <w:sz w:val="28"/>
                      <w:szCs w:val="28"/>
                    </w:rPr>
                    <w:t xml:space="preserve">.: </w:t>
                  </w:r>
                  <w:r w:rsidRPr="00B5609C">
                    <w:rPr>
                      <w:bCs/>
                      <w:sz w:val="28"/>
                      <w:szCs w:val="28"/>
                    </w:rPr>
                    <w:t>Änderung der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B5609C">
                    <w:rPr>
                      <w:sz w:val="28"/>
                      <w:szCs w:val="28"/>
                    </w:rPr>
                    <w:t>elektrische</w:t>
                  </w:r>
                  <w:r>
                    <w:rPr>
                      <w:sz w:val="28"/>
                      <w:szCs w:val="28"/>
                    </w:rPr>
                    <w:t>n</w:t>
                  </w:r>
                  <w:r w:rsidRPr="00B5609C">
                    <w:rPr>
                      <w:sz w:val="28"/>
                      <w:szCs w:val="28"/>
                    </w:rPr>
                    <w:t xml:space="preserve"> Leitfähigkeit von Kalkwasser beim Einleiten von Kohlenstoffdioxid  </w:t>
                  </w:r>
                </w:p>
              </w:tc>
            </w:tr>
          </w:tbl>
          <w:p w:rsidR="00981FBF" w:rsidRDefault="00981FBF" w:rsidP="0088618C">
            <w:pPr>
              <w:spacing w:line="276" w:lineRule="auto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4"/>
            </w:tblGrid>
            <w:tr w:rsidR="00981FBF" w:rsidTr="0088618C">
              <w:trPr>
                <w:trHeight w:val="244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38"/>
                  </w:tblGrid>
                  <w:tr w:rsidR="00981FBF" w:rsidTr="0088618C">
                    <w:trPr>
                      <w:trHeight w:val="379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222"/>
                        </w:tblGrid>
                        <w:tr w:rsidR="00981FBF" w:rsidTr="0088618C">
                          <w:trPr>
                            <w:trHeight w:val="243"/>
                          </w:trPr>
                          <w:tc>
                            <w:tcPr>
                              <w:tcW w:w="0" w:type="auto"/>
                            </w:tcPr>
                            <w:p w:rsidR="00981FBF" w:rsidRPr="00E252DC" w:rsidRDefault="00981FBF" w:rsidP="00AB2D2D">
                              <w:pPr>
                                <w:pStyle w:val="Default"/>
                              </w:pPr>
                            </w:p>
                          </w:tc>
                        </w:tr>
                      </w:tbl>
                      <w:p w:rsidR="00981FBF" w:rsidRPr="005B26E5" w:rsidRDefault="00981FBF" w:rsidP="0088618C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981FBF" w:rsidRDefault="00981FBF" w:rsidP="0088618C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981FBF" w:rsidTr="0088618C">
              <w:trPr>
                <w:trHeight w:val="244"/>
              </w:trPr>
              <w:tc>
                <w:tcPr>
                  <w:tcW w:w="0" w:type="auto"/>
                </w:tcPr>
                <w:p w:rsidR="00981FBF" w:rsidRDefault="00981FBF" w:rsidP="0088618C">
                  <w:pPr>
                    <w:pStyle w:val="Default"/>
                  </w:pPr>
                  <w:r>
                    <w:t xml:space="preserve">  </w:t>
                  </w:r>
                </w:p>
              </w:tc>
            </w:tr>
          </w:tbl>
          <w:p w:rsidR="00981FBF" w:rsidRDefault="00981FBF" w:rsidP="0088618C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981FBF" w:rsidRPr="001C46A7" w:rsidRDefault="00981FBF" w:rsidP="0088618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981FBF" w:rsidRPr="00BC5E70" w:rsidRDefault="00981FBF" w:rsidP="0088618C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Ü </w:t>
            </w:r>
            <w:r w:rsidR="00B5609C">
              <w:rPr>
                <w:b/>
                <w:sz w:val="28"/>
              </w:rPr>
              <w:t>3</w:t>
            </w:r>
          </w:p>
        </w:tc>
      </w:tr>
    </w:tbl>
    <w:p w:rsidR="00B5609C" w:rsidRDefault="00B5609C" w:rsidP="0081398E">
      <w:pPr>
        <w:spacing w:after="0"/>
        <w:rPr>
          <w:sz w:val="24"/>
          <w:szCs w:val="24"/>
        </w:rPr>
      </w:pPr>
      <w:r w:rsidRPr="00B5609C">
        <w:rPr>
          <w:sz w:val="24"/>
          <w:szCs w:val="24"/>
        </w:rPr>
        <w:t>D</w:t>
      </w:r>
      <w:r w:rsidR="00CF6AF8">
        <w:rPr>
          <w:sz w:val="24"/>
          <w:szCs w:val="24"/>
        </w:rPr>
        <w:t>ie Deutung des</w:t>
      </w:r>
      <w:r w:rsidRPr="00B5609C">
        <w:rPr>
          <w:sz w:val="24"/>
          <w:szCs w:val="24"/>
        </w:rPr>
        <w:t xml:space="preserve"> Versuch</w:t>
      </w:r>
      <w:r w:rsidR="00CF6AF8">
        <w:rPr>
          <w:sz w:val="24"/>
          <w:szCs w:val="24"/>
        </w:rPr>
        <w:t>s</w:t>
      </w:r>
      <w:r w:rsidRPr="00B5609C">
        <w:rPr>
          <w:sz w:val="24"/>
          <w:szCs w:val="24"/>
        </w:rPr>
        <w:t xml:space="preserve"> verlangt </w:t>
      </w:r>
      <w:r w:rsidR="00CE6CEA">
        <w:rPr>
          <w:sz w:val="24"/>
          <w:szCs w:val="24"/>
        </w:rPr>
        <w:t xml:space="preserve">vertiefte </w:t>
      </w:r>
      <w:r w:rsidR="00CF6AF8">
        <w:rPr>
          <w:sz w:val="24"/>
          <w:szCs w:val="24"/>
        </w:rPr>
        <w:t>Vork</w:t>
      </w:r>
      <w:r w:rsidR="00CE6CEA">
        <w:rPr>
          <w:sz w:val="24"/>
          <w:szCs w:val="24"/>
        </w:rPr>
        <w:t xml:space="preserve">enntnisse und </w:t>
      </w:r>
      <w:r w:rsidRPr="00B5609C">
        <w:rPr>
          <w:sz w:val="24"/>
          <w:szCs w:val="24"/>
        </w:rPr>
        <w:t xml:space="preserve">Fähigkeiten auf dem Gebiet des Transfers und der Vernetzung. </w:t>
      </w:r>
      <w:r w:rsidR="00CF6AF8">
        <w:rPr>
          <w:sz w:val="24"/>
          <w:szCs w:val="24"/>
        </w:rPr>
        <w:t>Der Versuch</w:t>
      </w:r>
      <w:r w:rsidRPr="00B5609C">
        <w:rPr>
          <w:sz w:val="24"/>
          <w:szCs w:val="24"/>
        </w:rPr>
        <w:t xml:space="preserve"> kann zum Üben mit Experimenten in der laufenden Unterrichtseinheit (nicht am Anfang!) verwendet werden und ist eher für die Kursstufe zu empfehlen.</w:t>
      </w:r>
    </w:p>
    <w:p w:rsidR="00CE6CEA" w:rsidRPr="00CE6CEA" w:rsidRDefault="00CE6CEA" w:rsidP="0081398E">
      <w:pPr>
        <w:spacing w:after="0"/>
        <w:rPr>
          <w:sz w:val="24"/>
          <w:szCs w:val="24"/>
        </w:rPr>
      </w:pPr>
      <w:r>
        <w:rPr>
          <w:sz w:val="24"/>
          <w:szCs w:val="24"/>
        </w:rPr>
        <w:t>Den Ausgangspunkt biete eine vertiefte Betrachtung der als CO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-Nachweis bekannten Kalkwasserprobe.</w:t>
      </w:r>
    </w:p>
    <w:p w:rsidR="00B5609C" w:rsidRDefault="00B5609C" w:rsidP="0081398E">
      <w:pPr>
        <w:spacing w:after="0"/>
        <w:rPr>
          <w:sz w:val="24"/>
          <w:szCs w:val="24"/>
        </w:rPr>
      </w:pPr>
      <w:r>
        <w:rPr>
          <w:sz w:val="24"/>
          <w:szCs w:val="24"/>
        </w:rPr>
        <w:t>Geübt wird, wie Beobachtungen bei der Veränderung der Lösung (Trübung, Aufklaren) und damit korrelierende Leitfähigkeitsänderungen durch chemische Prozesse (Säure-Base-Reaktionen, Fällungsreaktionen) und letztlich durch die sich verändernde teilchenmäßige Zusammensetzung erklärt werden können.</w:t>
      </w:r>
      <w:r w:rsidR="00CF6AF8">
        <w:rPr>
          <w:sz w:val="24"/>
          <w:szCs w:val="24"/>
        </w:rPr>
        <w:t xml:space="preserve"> Verlangt werden</w:t>
      </w:r>
      <w:r>
        <w:rPr>
          <w:sz w:val="24"/>
          <w:szCs w:val="24"/>
        </w:rPr>
        <w:t xml:space="preserve"> die Kenntnis von Teilchen (Ca</w:t>
      </w:r>
      <w:r>
        <w:rPr>
          <w:sz w:val="24"/>
          <w:szCs w:val="24"/>
          <w:vertAlign w:val="superscript"/>
        </w:rPr>
        <w:t>2+</w:t>
      </w:r>
      <w:r>
        <w:rPr>
          <w:sz w:val="24"/>
          <w:szCs w:val="24"/>
        </w:rPr>
        <w:t>, OH</w:t>
      </w:r>
      <w:r>
        <w:rPr>
          <w:sz w:val="24"/>
          <w:szCs w:val="24"/>
          <w:vertAlign w:val="superscript"/>
        </w:rPr>
        <w:t>-</w:t>
      </w:r>
      <w:r>
        <w:rPr>
          <w:sz w:val="24"/>
          <w:szCs w:val="24"/>
        </w:rPr>
        <w:t>, 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O, CO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, CO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  <w:vertAlign w:val="superscript"/>
        </w:rPr>
        <w:t>2-</w:t>
      </w:r>
      <w:r>
        <w:rPr>
          <w:sz w:val="24"/>
          <w:szCs w:val="24"/>
        </w:rPr>
        <w:t>, HCO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  <w:vertAlign w:val="superscript"/>
        </w:rPr>
        <w:t>-</w:t>
      </w:r>
      <w:r>
        <w:rPr>
          <w:sz w:val="24"/>
          <w:szCs w:val="24"/>
        </w:rPr>
        <w:t>), ihrer Reaktionen und ihrer unterschiedlichen Leitfähigkeit</w:t>
      </w:r>
      <w:r w:rsidR="00CF6AF8">
        <w:rPr>
          <w:sz w:val="24"/>
          <w:szCs w:val="24"/>
        </w:rPr>
        <w:t>, ggf. auch Gleichgewichtsbetrachtungen</w:t>
      </w:r>
      <w:r>
        <w:rPr>
          <w:sz w:val="24"/>
          <w:szCs w:val="24"/>
        </w:rPr>
        <w:t>.</w:t>
      </w:r>
    </w:p>
    <w:p w:rsidR="00CE6CEA" w:rsidRDefault="00B6432A" w:rsidP="0081398E">
      <w:pPr>
        <w:spacing w:after="0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8" type="#_x0000_t202" style="position:absolute;margin-left:220.4pt;margin-top:36.1pt;width:222.15pt;height:41.65pt;z-index:25166131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">
            <v:textbox style="mso-fit-shape-to-text:t">
              <w:txbxContent>
                <w:p w:rsidR="00CE6CEA" w:rsidRDefault="00CE6CEA" w:rsidP="00CE6CEA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Kalkwasser besitzt eine relativ hohe </w:t>
                  </w:r>
                </w:p>
                <w:p w:rsidR="00CE6CEA" w:rsidRDefault="00CE6CEA" w:rsidP="00CE6CEA">
                  <w:pPr>
                    <w:spacing w:after="0"/>
                  </w:pPr>
                  <w:r>
                    <w:rPr>
                      <w:sz w:val="24"/>
                      <w:szCs w:val="24"/>
                    </w:rPr>
                    <w:t>elektrische Leitfähigkeit.</w:t>
                  </w:r>
                </w:p>
              </w:txbxContent>
            </v:textbox>
          </v:shape>
        </w:pict>
      </w:r>
      <w:r w:rsidR="00B5609C">
        <w:rPr>
          <w:noProof/>
          <w:sz w:val="24"/>
          <w:szCs w:val="24"/>
          <w:lang w:eastAsia="de-DE"/>
        </w:rPr>
        <w:drawing>
          <wp:inline distT="0" distB="0" distL="0" distR="0" wp14:anchorId="7D14C5A1" wp14:editId="20EEBBCF">
            <wp:extent cx="2337684" cy="1457093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lkwasser_CO2_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047" cy="1461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609C">
        <w:rPr>
          <w:sz w:val="24"/>
          <w:szCs w:val="24"/>
        </w:rPr>
        <w:t xml:space="preserve"> </w:t>
      </w:r>
      <w:r w:rsidR="00CE6CEA">
        <w:rPr>
          <w:sz w:val="24"/>
          <w:szCs w:val="24"/>
        </w:rPr>
        <w:t xml:space="preserve"> </w:t>
      </w:r>
    </w:p>
    <w:p w:rsidR="00CE6CEA" w:rsidRDefault="00B6432A" w:rsidP="0081398E">
      <w:pPr>
        <w:spacing w:after="0"/>
        <w:rPr>
          <w:sz w:val="24"/>
          <w:szCs w:val="24"/>
        </w:rPr>
      </w:pPr>
      <w:r>
        <w:rPr>
          <w:noProof/>
        </w:rPr>
        <w:pict>
          <v:shape id="_x0000_s1029" type="#_x0000_t202" style="position:absolute;margin-left:220.4pt;margin-top:26.3pt;width:222.15pt;height:54.45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Hw/2C8qAgAATgQAAA4AAAAAAAAAAAAAAAAALgIAAGRycy9lMm9E&#10;b2MueG1sUEsBAi0AFAAGAAgAAAAhAP0vMtbbAAAABQEAAA8AAAAAAAAAAAAAAAAAhAQAAGRycy9k&#10;b3ducmV2LnhtbFBLBQYAAAAABAAEAPMAAACMBQAAAAA=&#10;">
            <v:textbox>
              <w:txbxContent>
                <w:p w:rsidR="00CE6CEA" w:rsidRDefault="00CE6CEA">
                  <w:r>
                    <w:rPr>
                      <w:sz w:val="24"/>
                      <w:szCs w:val="24"/>
                    </w:rPr>
                    <w:t>Sofort nach Einleiten von CO</w:t>
                  </w:r>
                  <w:r>
                    <w:rPr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 xml:space="preserve"> sinkt die elektrische Leitfähigkeit und die Lösung trübt sich.</w:t>
                  </w:r>
                </w:p>
              </w:txbxContent>
            </v:textbox>
          </v:shape>
        </w:pict>
      </w:r>
      <w:r w:rsidR="00B5609C">
        <w:rPr>
          <w:noProof/>
          <w:sz w:val="24"/>
          <w:szCs w:val="24"/>
          <w:lang w:eastAsia="de-DE"/>
        </w:rPr>
        <w:drawing>
          <wp:inline distT="0" distB="0" distL="0" distR="0" wp14:anchorId="66866055" wp14:editId="4C2A8268">
            <wp:extent cx="2337684" cy="1463428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lkwasser_CO2_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959" cy="146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6CEA">
        <w:rPr>
          <w:sz w:val="24"/>
          <w:szCs w:val="24"/>
        </w:rPr>
        <w:t xml:space="preserve">  </w:t>
      </w:r>
    </w:p>
    <w:p w:rsidR="00CE6CEA" w:rsidRDefault="00B6432A" w:rsidP="0081398E">
      <w:pPr>
        <w:spacing w:after="0"/>
        <w:rPr>
          <w:sz w:val="24"/>
          <w:szCs w:val="24"/>
        </w:rPr>
      </w:pPr>
      <w:r>
        <w:rPr>
          <w:noProof/>
        </w:rPr>
        <w:pict>
          <v:shape id="_x0000_s1030" type="#_x0000_t202" style="position:absolute;margin-left:221.2pt;margin-top:35.95pt;width:222.15pt;height:37.2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+Ea7ikCAABOBAAADgAAAAAAAAAAAAAAAAAuAgAAZHJzL2Uyb0Rv&#10;Yy54bWxQSwECLQAUAAYACAAAACEA/S8y1tsAAAAFAQAADwAAAAAAAAAAAAAAAACDBAAAZHJzL2Rv&#10;d25yZXYueG1sUEsFBgAAAAAEAAQA8wAAAIsFAAAAAA==&#10;">
            <v:textbox>
              <w:txbxContent>
                <w:p w:rsidR="00CE6CEA" w:rsidRPr="00CE6CEA" w:rsidRDefault="00CE6CEA">
                  <w:pPr>
                    <w:rPr>
                      <w:sz w:val="24"/>
                      <w:szCs w:val="24"/>
                    </w:rPr>
                  </w:pPr>
                  <w:r w:rsidRPr="00CE6CEA">
                    <w:rPr>
                      <w:sz w:val="24"/>
                      <w:szCs w:val="24"/>
                    </w:rPr>
                    <w:t>Bei der stärksten Trübung ist die geringste elektrische Leitfähigkeit messbar.</w:t>
                  </w:r>
                </w:p>
              </w:txbxContent>
            </v:textbox>
          </v:shape>
        </w:pict>
      </w:r>
      <w:r w:rsidR="00CE6CEA">
        <w:rPr>
          <w:noProof/>
          <w:sz w:val="24"/>
          <w:szCs w:val="24"/>
          <w:lang w:eastAsia="de-DE"/>
        </w:rPr>
        <w:drawing>
          <wp:inline distT="0" distB="0" distL="0" distR="0" wp14:anchorId="59D14F54" wp14:editId="4DDD3C9B">
            <wp:extent cx="2337684" cy="1517359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lkwasser_CO2_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301" cy="1524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09C" w:rsidRDefault="00B6432A" w:rsidP="0081398E">
      <w:pPr>
        <w:spacing w:after="0"/>
        <w:rPr>
          <w:sz w:val="24"/>
          <w:szCs w:val="24"/>
        </w:rPr>
      </w:pPr>
      <w:r>
        <w:rPr>
          <w:noProof/>
        </w:rPr>
        <w:pict>
          <v:shape id="_x0000_s1031" type="#_x0000_t202" style="position:absolute;margin-left:220.4pt;margin-top:2pt;width:222.15pt;height:108.35pt;z-index:2516674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mVZ0GCkCAABOBAAADgAAAAAAAAAAAAAAAAAuAgAAZHJzL2Uyb0Rv&#10;Yy54bWxQSwECLQAUAAYACAAAACEA/S8y1tsAAAAFAQAADwAAAAAAAAAAAAAAAACDBAAAZHJzL2Rv&#10;d25yZXYueG1sUEsFBgAAAAAEAAQA8wAAAIsFAAAAAA==&#10;">
            <v:textbox>
              <w:txbxContent>
                <w:p w:rsidR="00CF6AF8" w:rsidRPr="009E764D" w:rsidRDefault="00CF6AF8">
                  <w:pPr>
                    <w:rPr>
                      <w:sz w:val="24"/>
                      <w:szCs w:val="24"/>
                    </w:rPr>
                  </w:pPr>
                  <w:r w:rsidRPr="009E764D">
                    <w:rPr>
                      <w:sz w:val="24"/>
                      <w:szCs w:val="24"/>
                    </w:rPr>
                    <w:t>Bei weiterer Zugabe von Kohlenstoffdioxid klart die Lösung wieder auf und die elektrische Leitfähigkeit erhöht sich deutlich. Der Ausgangswert des Kalkwassers wird jedoch nicht mehr erreicht.</w:t>
                  </w:r>
                </w:p>
              </w:txbxContent>
            </v:textbox>
          </v:shape>
        </w:pict>
      </w:r>
      <w:r w:rsidR="00CE6CEA">
        <w:rPr>
          <w:noProof/>
          <w:sz w:val="24"/>
          <w:szCs w:val="24"/>
          <w:lang w:eastAsia="de-DE"/>
        </w:rPr>
        <w:drawing>
          <wp:inline distT="0" distB="0" distL="0" distR="0">
            <wp:extent cx="2337684" cy="1474624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lkwasser_CO2_4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874" cy="1477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AF8" w:rsidRPr="00CF6AF8" w:rsidRDefault="00CF6AF8" w:rsidP="00CF6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rPr>
          <w:b/>
          <w:sz w:val="24"/>
          <w:szCs w:val="24"/>
        </w:rPr>
      </w:pPr>
      <w:r w:rsidRPr="00CF6AF8">
        <w:rPr>
          <w:b/>
          <w:sz w:val="24"/>
          <w:szCs w:val="24"/>
        </w:rPr>
        <w:t>Aufgabe:</w:t>
      </w:r>
      <w:r w:rsidRPr="00CF6AF8">
        <w:rPr>
          <w:b/>
          <w:sz w:val="24"/>
          <w:szCs w:val="24"/>
        </w:rPr>
        <w:tab/>
      </w:r>
    </w:p>
    <w:p w:rsidR="00CF6AF8" w:rsidRDefault="00CF6AF8" w:rsidP="00CF6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Formulieren Sie geeignete Übungsaufgaben für diesen </w:t>
      </w:r>
      <w:r w:rsidR="00E07A7F">
        <w:rPr>
          <w:sz w:val="24"/>
          <w:szCs w:val="24"/>
        </w:rPr>
        <w:t>V</w:t>
      </w:r>
      <w:r>
        <w:rPr>
          <w:sz w:val="24"/>
          <w:szCs w:val="24"/>
        </w:rPr>
        <w:t xml:space="preserve">ersuch und dazu evtl. nötige Lösungshilfen (z.B. einen </w:t>
      </w:r>
      <w:proofErr w:type="spellStart"/>
      <w:r>
        <w:rPr>
          <w:sz w:val="24"/>
          <w:szCs w:val="24"/>
        </w:rPr>
        <w:t>Infotext</w:t>
      </w:r>
      <w:proofErr w:type="spellEnd"/>
      <w:r>
        <w:rPr>
          <w:sz w:val="24"/>
          <w:szCs w:val="24"/>
        </w:rPr>
        <w:t>).</w:t>
      </w:r>
    </w:p>
    <w:p w:rsidR="00CF6AF8" w:rsidRPr="00CE6CEA" w:rsidRDefault="00E07A7F" w:rsidP="008139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CF6AF8" w:rsidRPr="00CE6CEA" w:rsidSect="006E559B">
      <w:footerReference w:type="default" r:id="rId17"/>
      <w:pgSz w:w="11906" w:h="16838"/>
      <w:pgMar w:top="851" w:right="707" w:bottom="709" w:left="993" w:header="708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32A" w:rsidRDefault="00B6432A" w:rsidP="001536AA">
      <w:pPr>
        <w:spacing w:after="0" w:line="240" w:lineRule="auto"/>
      </w:pPr>
      <w:r>
        <w:separator/>
      </w:r>
    </w:p>
  </w:endnote>
  <w:endnote w:type="continuationSeparator" w:id="0">
    <w:p w:rsidR="00B6432A" w:rsidRDefault="00B6432A" w:rsidP="0015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23A" w:rsidRPr="006E559B" w:rsidRDefault="006E559B" w:rsidP="00086C2E">
    <w:pPr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\* FirstCap  \* MERGEFORMAT </w:instrText>
    </w:r>
    <w:r>
      <w:rPr>
        <w:sz w:val="14"/>
        <w:szCs w:val="14"/>
      </w:rPr>
      <w:fldChar w:fldCharType="separate"/>
    </w:r>
    <w:r w:rsidR="00797E7B">
      <w:rPr>
        <w:noProof/>
        <w:sz w:val="14"/>
        <w:szCs w:val="14"/>
      </w:rPr>
      <w:t>W</w:t>
    </w:r>
    <w:r w:rsidR="00A56B39">
      <w:rPr>
        <w:noProof/>
        <w:sz w:val="14"/>
        <w:szCs w:val="14"/>
      </w:rPr>
      <w:t>3</w:t>
    </w:r>
    <w:r w:rsidR="00797E7B">
      <w:rPr>
        <w:noProof/>
        <w:sz w:val="14"/>
        <w:szCs w:val="14"/>
      </w:rPr>
      <w:t>_Exp_</w:t>
    </w:r>
    <w:r w:rsidR="00A56B39">
      <w:rPr>
        <w:noProof/>
        <w:sz w:val="14"/>
        <w:szCs w:val="14"/>
      </w:rPr>
      <w:t>3</w:t>
    </w:r>
    <w:r w:rsidR="00797E7B">
      <w:rPr>
        <w:noProof/>
        <w:sz w:val="14"/>
        <w:szCs w:val="14"/>
      </w:rPr>
      <w:t>.2.2_Uebungsformate</w:t>
    </w:r>
    <w:r>
      <w:rPr>
        <w:sz w:val="14"/>
        <w:szCs w:val="14"/>
      </w:rPr>
      <w:fldChar w:fldCharType="end"/>
    </w:r>
    <w:r w:rsidR="00DA1725">
      <w:rPr>
        <w:sz w:val="14"/>
        <w:szCs w:val="14"/>
      </w:rPr>
      <w:tab/>
    </w:r>
    <w:r w:rsidR="00DA1725">
      <w:rPr>
        <w:sz w:val="14"/>
        <w:szCs w:val="14"/>
      </w:rPr>
      <w:tab/>
    </w:r>
    <w:r w:rsidR="00DA1725">
      <w:rPr>
        <w:sz w:val="14"/>
        <w:szCs w:val="14"/>
      </w:rPr>
      <w:tab/>
    </w:r>
    <w:r w:rsidR="00DA1725">
      <w:rPr>
        <w:sz w:val="14"/>
        <w:szCs w:val="14"/>
      </w:rPr>
      <w:tab/>
    </w:r>
    <w:r w:rsidR="00DF3B41">
      <w:rPr>
        <w:sz w:val="14"/>
        <w:szCs w:val="14"/>
      </w:rPr>
      <w:tab/>
    </w:r>
    <w:r w:rsidR="00DF3B41">
      <w:rPr>
        <w:sz w:val="14"/>
        <w:szCs w:val="14"/>
      </w:rPr>
      <w:tab/>
    </w:r>
    <w:r w:rsidR="00DF3B41">
      <w:rPr>
        <w:sz w:val="14"/>
        <w:szCs w:val="14"/>
      </w:rPr>
      <w:tab/>
    </w:r>
    <w:r w:rsidR="00DF3B41">
      <w:rPr>
        <w:sz w:val="14"/>
        <w:szCs w:val="14"/>
      </w:rPr>
      <w:tab/>
    </w:r>
    <w:r w:rsidR="00DF3B41">
      <w:rPr>
        <w:sz w:val="14"/>
        <w:szCs w:val="14"/>
      </w:rPr>
      <w:tab/>
    </w:r>
    <w:r w:rsidR="00DF3B41">
      <w:rPr>
        <w:sz w:val="14"/>
        <w:szCs w:val="14"/>
      </w:rPr>
      <w:tab/>
    </w:r>
    <w:r w:rsidR="0021123A" w:rsidRPr="006E559B">
      <w:rPr>
        <w:sz w:val="14"/>
        <w:szCs w:val="14"/>
      </w:rPr>
      <w:t>2014 ZPG III</w:t>
    </w:r>
    <w:r w:rsidR="000233BB" w:rsidRPr="006E559B">
      <w:rPr>
        <w:sz w:val="14"/>
        <w:szCs w:val="14"/>
      </w:rPr>
      <w:t xml:space="preserve"> CH</w:t>
    </w:r>
    <w:r w:rsidR="0021123A" w:rsidRPr="006E559B">
      <w:rPr>
        <w:sz w:val="14"/>
        <w:szCs w:val="14"/>
      </w:rPr>
      <w:t>-</w:t>
    </w:r>
    <w:r w:rsidR="00094C7A">
      <w:rPr>
        <w:sz w:val="14"/>
        <w:szCs w:val="14"/>
      </w:rPr>
      <w:t>Wie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32A" w:rsidRDefault="00B6432A" w:rsidP="001536AA">
      <w:pPr>
        <w:spacing w:after="0" w:line="240" w:lineRule="auto"/>
      </w:pPr>
      <w:r>
        <w:separator/>
      </w:r>
    </w:p>
  </w:footnote>
  <w:footnote w:type="continuationSeparator" w:id="0">
    <w:p w:rsidR="00B6432A" w:rsidRDefault="00B6432A" w:rsidP="00153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5121"/>
    <w:multiLevelType w:val="hybridMultilevel"/>
    <w:tmpl w:val="322E83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85B9C"/>
    <w:multiLevelType w:val="hybridMultilevel"/>
    <w:tmpl w:val="053E6E9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BE00D2"/>
    <w:multiLevelType w:val="hybridMultilevel"/>
    <w:tmpl w:val="639E1B4E"/>
    <w:lvl w:ilvl="0" w:tplc="8E782B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BF9"/>
    <w:rsid w:val="000110E7"/>
    <w:rsid w:val="000233BB"/>
    <w:rsid w:val="00044EAE"/>
    <w:rsid w:val="00046896"/>
    <w:rsid w:val="0004691C"/>
    <w:rsid w:val="00081B30"/>
    <w:rsid w:val="00086C2E"/>
    <w:rsid w:val="00094C7A"/>
    <w:rsid w:val="00097D3F"/>
    <w:rsid w:val="000B118B"/>
    <w:rsid w:val="000C6F84"/>
    <w:rsid w:val="000D0C47"/>
    <w:rsid w:val="000D4D20"/>
    <w:rsid w:val="000E4B51"/>
    <w:rsid w:val="00102B8E"/>
    <w:rsid w:val="001536AA"/>
    <w:rsid w:val="0015403B"/>
    <w:rsid w:val="00163DF0"/>
    <w:rsid w:val="0018755A"/>
    <w:rsid w:val="001A3A69"/>
    <w:rsid w:val="001B2CEE"/>
    <w:rsid w:val="001C4515"/>
    <w:rsid w:val="001C46A7"/>
    <w:rsid w:val="00207CA6"/>
    <w:rsid w:val="0021123A"/>
    <w:rsid w:val="00267712"/>
    <w:rsid w:val="00280E34"/>
    <w:rsid w:val="002A4386"/>
    <w:rsid w:val="002B683B"/>
    <w:rsid w:val="002D1D8D"/>
    <w:rsid w:val="00341ED1"/>
    <w:rsid w:val="00345BF9"/>
    <w:rsid w:val="00351753"/>
    <w:rsid w:val="003720AA"/>
    <w:rsid w:val="003D08B6"/>
    <w:rsid w:val="003E7655"/>
    <w:rsid w:val="003E7B64"/>
    <w:rsid w:val="0041446E"/>
    <w:rsid w:val="0044122C"/>
    <w:rsid w:val="00484075"/>
    <w:rsid w:val="00496993"/>
    <w:rsid w:val="004E0ABF"/>
    <w:rsid w:val="00506871"/>
    <w:rsid w:val="00510F6D"/>
    <w:rsid w:val="00511DB1"/>
    <w:rsid w:val="00524C9F"/>
    <w:rsid w:val="00550895"/>
    <w:rsid w:val="00572881"/>
    <w:rsid w:val="0057444A"/>
    <w:rsid w:val="00580A4E"/>
    <w:rsid w:val="005B057C"/>
    <w:rsid w:val="005B26E5"/>
    <w:rsid w:val="005B53F8"/>
    <w:rsid w:val="005B56F0"/>
    <w:rsid w:val="005C163F"/>
    <w:rsid w:val="006123F3"/>
    <w:rsid w:val="006179F9"/>
    <w:rsid w:val="0062478A"/>
    <w:rsid w:val="00655A5A"/>
    <w:rsid w:val="0066492D"/>
    <w:rsid w:val="00666A7C"/>
    <w:rsid w:val="006720F3"/>
    <w:rsid w:val="00674126"/>
    <w:rsid w:val="006C47CD"/>
    <w:rsid w:val="006E559B"/>
    <w:rsid w:val="0070334D"/>
    <w:rsid w:val="00740D5A"/>
    <w:rsid w:val="00746B7E"/>
    <w:rsid w:val="00760CE4"/>
    <w:rsid w:val="0077492B"/>
    <w:rsid w:val="00797E7B"/>
    <w:rsid w:val="0081398E"/>
    <w:rsid w:val="00823CF9"/>
    <w:rsid w:val="008811C8"/>
    <w:rsid w:val="00897E7C"/>
    <w:rsid w:val="008A23D4"/>
    <w:rsid w:val="008D18E9"/>
    <w:rsid w:val="008F676A"/>
    <w:rsid w:val="009349E5"/>
    <w:rsid w:val="009538B3"/>
    <w:rsid w:val="0096214D"/>
    <w:rsid w:val="00976C77"/>
    <w:rsid w:val="00981FBF"/>
    <w:rsid w:val="00987F6E"/>
    <w:rsid w:val="009A741A"/>
    <w:rsid w:val="009D369C"/>
    <w:rsid w:val="009D7091"/>
    <w:rsid w:val="009E764D"/>
    <w:rsid w:val="009F25DB"/>
    <w:rsid w:val="00A37CBE"/>
    <w:rsid w:val="00A51890"/>
    <w:rsid w:val="00A56B39"/>
    <w:rsid w:val="00A730A2"/>
    <w:rsid w:val="00AA56AD"/>
    <w:rsid w:val="00AF5318"/>
    <w:rsid w:val="00B22852"/>
    <w:rsid w:val="00B5609C"/>
    <w:rsid w:val="00B6432A"/>
    <w:rsid w:val="00B66F64"/>
    <w:rsid w:val="00B70DE5"/>
    <w:rsid w:val="00B73A11"/>
    <w:rsid w:val="00B82117"/>
    <w:rsid w:val="00B90439"/>
    <w:rsid w:val="00BB0FF9"/>
    <w:rsid w:val="00BB27C1"/>
    <w:rsid w:val="00BC5E70"/>
    <w:rsid w:val="00BD4D33"/>
    <w:rsid w:val="00BF1B2E"/>
    <w:rsid w:val="00C42E4A"/>
    <w:rsid w:val="00C50825"/>
    <w:rsid w:val="00C743E6"/>
    <w:rsid w:val="00C75BA1"/>
    <w:rsid w:val="00C858A5"/>
    <w:rsid w:val="00CB1A12"/>
    <w:rsid w:val="00CB316C"/>
    <w:rsid w:val="00CC0B5A"/>
    <w:rsid w:val="00CD79EF"/>
    <w:rsid w:val="00CE6CEA"/>
    <w:rsid w:val="00CF29CE"/>
    <w:rsid w:val="00CF6AF8"/>
    <w:rsid w:val="00D370DA"/>
    <w:rsid w:val="00D47446"/>
    <w:rsid w:val="00D60331"/>
    <w:rsid w:val="00DA1725"/>
    <w:rsid w:val="00DA2538"/>
    <w:rsid w:val="00DF3B41"/>
    <w:rsid w:val="00E07A7F"/>
    <w:rsid w:val="00E42899"/>
    <w:rsid w:val="00E65A58"/>
    <w:rsid w:val="00E72B68"/>
    <w:rsid w:val="00E7786E"/>
    <w:rsid w:val="00E84A1E"/>
    <w:rsid w:val="00E865FA"/>
    <w:rsid w:val="00E96BA2"/>
    <w:rsid w:val="00EA56DC"/>
    <w:rsid w:val="00EF30D8"/>
    <w:rsid w:val="00F27162"/>
    <w:rsid w:val="00F84059"/>
    <w:rsid w:val="00FA1183"/>
    <w:rsid w:val="00FD4C2A"/>
    <w:rsid w:val="00FE069D"/>
    <w:rsid w:val="00FF0FF7"/>
    <w:rsid w:val="00FF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4A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0FF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53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36AA"/>
  </w:style>
  <w:style w:type="paragraph" w:styleId="Fuzeile">
    <w:name w:val="footer"/>
    <w:basedOn w:val="Standard"/>
    <w:link w:val="FuzeileZchn"/>
    <w:uiPriority w:val="99"/>
    <w:unhideWhenUsed/>
    <w:rsid w:val="00153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36AA"/>
  </w:style>
  <w:style w:type="table" w:styleId="Tabellenraster">
    <w:name w:val="Table Grid"/>
    <w:basedOn w:val="NormaleTabelle"/>
    <w:uiPriority w:val="59"/>
    <w:rsid w:val="00703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3B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2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E2CFA-344B-4180-88FD-7764F04B4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1098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+++</dc:creator>
  <cp:lastModifiedBy>Job</cp:lastModifiedBy>
  <cp:revision>2</cp:revision>
  <cp:lastPrinted>2014-04-09T22:34:00Z</cp:lastPrinted>
  <dcterms:created xsi:type="dcterms:W3CDTF">2014-05-03T11:01:00Z</dcterms:created>
  <dcterms:modified xsi:type="dcterms:W3CDTF">2014-05-03T11:01:00Z</dcterms:modified>
</cp:coreProperties>
</file>