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CC3AF" w14:textId="77777777" w:rsidR="00D267D5" w:rsidRDefault="00D267D5"/>
    <w:tbl>
      <w:tblPr>
        <w:tblStyle w:val="Listentabelle4Akzent1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D267D5" w14:paraId="38DEBB4B" w14:textId="77777777" w:rsidTr="00D267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7" w:type="dxa"/>
          </w:tcPr>
          <w:p w14:paraId="2F532E5D" w14:textId="77777777" w:rsidR="00D267D5" w:rsidRDefault="00D267D5">
            <w:pPr>
              <w:rPr>
                <w:rFonts w:ascii="Arial" w:hAnsi="Arial" w:cs="Arial"/>
                <w:b w:val="0"/>
                <w:bCs w:val="0"/>
              </w:rPr>
            </w:pPr>
          </w:p>
          <w:p w14:paraId="516B09C1" w14:textId="45B502CB" w:rsidR="00D267D5" w:rsidRPr="00D267D5" w:rsidRDefault="00D267D5" w:rsidP="00D267D5">
            <w:pPr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D267D5">
              <w:rPr>
                <w:rFonts w:ascii="Arial" w:hAnsi="Arial" w:cs="Arial"/>
                <w:bCs w:val="0"/>
                <w:sz w:val="32"/>
                <w:szCs w:val="32"/>
              </w:rPr>
              <w:t>Jahresplanung für da</w:t>
            </w:r>
            <w:r w:rsidR="00F23A9D">
              <w:rPr>
                <w:rFonts w:ascii="Arial" w:hAnsi="Arial" w:cs="Arial"/>
                <w:bCs w:val="0"/>
                <w:sz w:val="32"/>
                <w:szCs w:val="32"/>
              </w:rPr>
              <w:t xml:space="preserve">s </w:t>
            </w:r>
            <w:r w:rsidRPr="00D267D5">
              <w:rPr>
                <w:rFonts w:ascii="Arial" w:hAnsi="Arial" w:cs="Arial"/>
                <w:bCs w:val="0"/>
                <w:sz w:val="32"/>
                <w:szCs w:val="32"/>
              </w:rPr>
              <w:t>Leistungsfach</w:t>
            </w:r>
            <w:r w:rsidR="00F23A9D">
              <w:rPr>
                <w:rFonts w:ascii="Arial" w:hAnsi="Arial" w:cs="Arial"/>
                <w:bCs w:val="0"/>
                <w:sz w:val="32"/>
                <w:szCs w:val="32"/>
              </w:rPr>
              <w:t xml:space="preserve"> </w:t>
            </w:r>
            <w:r w:rsidRPr="00D267D5">
              <w:rPr>
                <w:rFonts w:ascii="Arial" w:hAnsi="Arial" w:cs="Arial"/>
                <w:bCs w:val="0"/>
                <w:sz w:val="32"/>
                <w:szCs w:val="32"/>
              </w:rPr>
              <w:t>Chemie</w:t>
            </w:r>
          </w:p>
          <w:p w14:paraId="38BCAA51" w14:textId="2526828C" w:rsidR="00D267D5" w:rsidRDefault="00D267D5">
            <w:pPr>
              <w:rPr>
                <w:rFonts w:ascii="Arial" w:hAnsi="Arial" w:cs="Arial"/>
              </w:rPr>
            </w:pPr>
          </w:p>
        </w:tc>
      </w:tr>
    </w:tbl>
    <w:p w14:paraId="15EF55D0" w14:textId="10FD8FF0" w:rsidR="00D267D5" w:rsidRDefault="00D267D5" w:rsidP="00D71CFF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D71CFF" w14:paraId="4D382157" w14:textId="77777777" w:rsidTr="00D71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7697189B" w14:textId="1DCC7D83" w:rsidR="00D71CFF" w:rsidRPr="00F23A9D" w:rsidRDefault="00F23A9D" w:rsidP="00F23A9D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 w:rsidRPr="00F23A9D">
              <w:rPr>
                <w:rFonts w:ascii="Arial" w:hAnsi="Arial" w:cs="Arial"/>
              </w:rPr>
              <w:t>1. Chemische Energetik</w:t>
            </w:r>
          </w:p>
        </w:tc>
        <w:tc>
          <w:tcPr>
            <w:tcW w:w="2942" w:type="dxa"/>
          </w:tcPr>
          <w:p w14:paraId="6195DC7A" w14:textId="2947CF1E" w:rsidR="00D71CFF" w:rsidRPr="00D71CFF" w:rsidRDefault="00F23A9D" w:rsidP="00D71CF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>(ca.</w:t>
            </w:r>
            <w:r w:rsidR="00183BB1">
              <w:rPr>
                <w:rFonts w:ascii="Arial" w:hAnsi="Arial" w:cs="Arial"/>
                <w:b w:val="0"/>
              </w:rPr>
              <w:t>20</w:t>
            </w:r>
            <w:r w:rsidRPr="00F23A9D">
              <w:rPr>
                <w:rFonts w:ascii="Arial" w:hAnsi="Arial" w:cs="Arial"/>
                <w:b w:val="0"/>
              </w:rPr>
              <w:t>-28 Stunden)</w:t>
            </w:r>
          </w:p>
        </w:tc>
      </w:tr>
    </w:tbl>
    <w:p w14:paraId="6A87A9B9" w14:textId="0EC3D22F" w:rsidR="00D71CFF" w:rsidRDefault="00D71CFF" w:rsidP="00D71CFF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8075"/>
        <w:gridCol w:w="142"/>
        <w:gridCol w:w="6060"/>
      </w:tblGrid>
      <w:tr w:rsidR="00583476" w14:paraId="506DDE43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075" w:type="dxa"/>
            <w:tcBorders>
              <w:right w:val="single" w:sz="4" w:space="0" w:color="auto"/>
            </w:tcBorders>
          </w:tcPr>
          <w:p w14:paraId="6CEB7FFB" w14:textId="6EFC1DE4" w:rsidR="00583476" w:rsidRDefault="00583476" w:rsidP="00583476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316" w14:textId="6918E4F4" w:rsidR="00583476" w:rsidRDefault="00583476" w:rsidP="0058347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583476" w14:paraId="73C8C107" w14:textId="77777777" w:rsidTr="00F23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gridSpan w:val="2"/>
          </w:tcPr>
          <w:p w14:paraId="43D8CA72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</w:pP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Einführung, Fragestellungen der Energetik</w:t>
            </w:r>
          </w:p>
          <w:p w14:paraId="6EDB555F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</w:pP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Aufgreifen bekannter Aspekte (Exotherme, endotherme Reaktionen, Aktivierungsenergie, Energiediagramme)</w:t>
            </w:r>
            <w:r w:rsidRPr="00F23A9D"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  <w:t xml:space="preserve"> </w:t>
            </w:r>
          </w:p>
          <w:p w14:paraId="6F67152B" w14:textId="77777777" w:rsidR="00583476" w:rsidRPr="00F23A9D" w:rsidRDefault="00583476" w:rsidP="00583476">
            <w:pPr>
              <w:rPr>
                <w:b w:val="0"/>
                <w:bCs w:val="0"/>
                <w:iCs/>
                <w:sz w:val="20"/>
              </w:rPr>
            </w:pPr>
            <w:r w:rsidRPr="00F23A9D">
              <w:rPr>
                <w:b w:val="0"/>
                <w:bCs w:val="0"/>
                <w:iCs/>
                <w:sz w:val="20"/>
              </w:rPr>
              <w:t xml:space="preserve">Problematisierung der Triebkraft von freiwillig ablaufenden Reaktionen </w:t>
            </w:r>
          </w:p>
          <w:p w14:paraId="60A415F8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Begrifflichkeiten</w:t>
            </w:r>
            <w:r w:rsidRPr="00F23A9D">
              <w:rPr>
                <w:b w:val="0"/>
                <w:bCs w:val="0"/>
                <w:sz w:val="20"/>
              </w:rPr>
              <w:t xml:space="preserve"> (</w:t>
            </w: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Offene, geschlossene, isolierte (abgeschlossene) Systeme</w:t>
            </w:r>
            <w:r w:rsidRPr="00F23A9D">
              <w:rPr>
                <w:b w:val="0"/>
                <w:bCs w:val="0"/>
                <w:sz w:val="20"/>
              </w:rPr>
              <w:t xml:space="preserve"> Systembegriff, Innere Energie, </w:t>
            </w: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Reaktionswärme Q</w:t>
            </w:r>
            <w:r w:rsidRPr="00F23A9D"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  <w:t xml:space="preserve">, </w:t>
            </w:r>
            <w:r w:rsidRPr="00F23A9D">
              <w:rPr>
                <w:b w:val="0"/>
                <w:bCs w:val="0"/>
                <w:sz w:val="20"/>
              </w:rPr>
              <w:t xml:space="preserve"> Enthalpie</w:t>
            </w:r>
            <w:r w:rsidRPr="00F23A9D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 xml:space="preserve">), </w:t>
            </w:r>
          </w:p>
          <w:p w14:paraId="11EBB4F8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A8A5AD3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Reaktionswärme bei konst. Vol.: Δ</w:t>
            </w:r>
            <w:r w:rsidRPr="00F23A9D">
              <w:rPr>
                <w:b w:val="0"/>
                <w:bCs w:val="0"/>
                <w:sz w:val="20"/>
                <w:vertAlign w:val="subscript"/>
              </w:rPr>
              <w:t>r</w:t>
            </w:r>
            <w:r w:rsidRPr="00F23A9D">
              <w:rPr>
                <w:b w:val="0"/>
                <w:bCs w:val="0"/>
                <w:sz w:val="20"/>
              </w:rPr>
              <w:t>U</w:t>
            </w:r>
            <w:r w:rsidRPr="00F23A9D">
              <w:rPr>
                <w:b w:val="0"/>
                <w:bCs w:val="0"/>
                <w:iCs/>
                <w:sz w:val="20"/>
              </w:rPr>
              <w:t xml:space="preserve"> </w:t>
            </w:r>
          </w:p>
          <w:p w14:paraId="48CB0421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iCs/>
                <w:sz w:val="20"/>
              </w:rPr>
              <w:t xml:space="preserve">Reaktionswärme bei konst. Druck </w:t>
            </w:r>
            <w:r w:rsidRPr="00F23A9D">
              <w:rPr>
                <w:rFonts w:eastAsia="SimSun"/>
                <w:b w:val="0"/>
                <w:bCs w:val="0"/>
                <w:sz w:val="22"/>
                <w:lang w:eastAsia="zh-CN"/>
              </w:rPr>
              <w:t>Δ</w:t>
            </w:r>
            <w:r w:rsidRPr="00F23A9D">
              <w:rPr>
                <w:rFonts w:eastAsia="SimSun"/>
                <w:b w:val="0"/>
                <w:bCs w:val="0"/>
                <w:sz w:val="22"/>
                <w:vertAlign w:val="subscript"/>
                <w:lang w:eastAsia="zh-CN"/>
              </w:rPr>
              <w:t>r</w:t>
            </w:r>
            <w:r w:rsidRPr="00F23A9D">
              <w:rPr>
                <w:rFonts w:eastAsia="SimSun"/>
                <w:b w:val="0"/>
                <w:bCs w:val="0"/>
                <w:sz w:val="22"/>
                <w:lang w:eastAsia="zh-CN"/>
              </w:rPr>
              <w:t>H</w:t>
            </w:r>
            <w:r w:rsidRPr="00F23A9D">
              <w:rPr>
                <w:b w:val="0"/>
                <w:bCs w:val="0"/>
                <w:sz w:val="20"/>
              </w:rPr>
              <w:t xml:space="preserve"> ; Volumenarbeit</w:t>
            </w:r>
          </w:p>
          <w:p w14:paraId="2F6A37A9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</w:p>
          <w:p w14:paraId="18E627C9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Messung von Reaktionswärmen (Q):</w:t>
            </w:r>
          </w:p>
          <w:p w14:paraId="5091183E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Kalorimetrie im Schülerpraktikum:</w:t>
            </w:r>
          </w:p>
          <w:p w14:paraId="695BF4A3" w14:textId="77777777" w:rsidR="00583476" w:rsidRPr="00F23A9D" w:rsidRDefault="00583476" w:rsidP="00583476">
            <w:pPr>
              <w:pStyle w:val="Listenabsatz"/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z.B. Neutralisationsreaktion</w:t>
            </w:r>
          </w:p>
          <w:p w14:paraId="07C5038F" w14:textId="77777777" w:rsidR="00583476" w:rsidRPr="00F23A9D" w:rsidRDefault="00583476" w:rsidP="00583476">
            <w:pPr>
              <w:pStyle w:val="Listenabsatz"/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Verbrennungsreaktion von Kohle, Ethanol, Alkan, Zwieback</w:t>
            </w:r>
          </w:p>
          <w:p w14:paraId="2C263F78" w14:textId="77777777" w:rsidR="00583476" w:rsidRPr="00F23A9D" w:rsidRDefault="00583476" w:rsidP="00583476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i/>
                <w:sz w:val="20"/>
              </w:rPr>
              <w:br/>
            </w:r>
            <w:r w:rsidRPr="00F23A9D">
              <w:rPr>
                <w:b w:val="0"/>
                <w:bCs w:val="0"/>
                <w:sz w:val="20"/>
              </w:rPr>
              <w:t>weitere Begrifflichkeiten: Spezifische Wärmekapazität des Wassers; Wärmekapazität C des Kalorimeters</w:t>
            </w:r>
          </w:p>
          <w:p w14:paraId="525DB31D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</w:p>
          <w:p w14:paraId="6FAD352D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</w:p>
          <w:p w14:paraId="62DDF0CA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color w:val="231F20"/>
                <w:sz w:val="10"/>
                <w:szCs w:val="10"/>
                <w:lang w:eastAsia="zh-CN"/>
              </w:rPr>
            </w:pPr>
          </w:p>
          <w:p w14:paraId="776B4F85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i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 xml:space="preserve">Bildungs- und Reaktionsenthalpien </w:t>
            </w:r>
          </w:p>
          <w:p w14:paraId="6AD68EDC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Satz von Hess, Berechnungen</w:t>
            </w:r>
          </w:p>
          <w:p w14:paraId="44337D57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065C5058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E82FC5D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2183EB3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72A1460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445C54F5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53409AE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58642769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lastRenderedPageBreak/>
              <w:t>Spontane endotherme Reaktionen, Entropie</w:t>
            </w:r>
          </w:p>
          <w:p w14:paraId="1548C0C3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Entropiebegriff, Reaktionsentropien Δ</w:t>
            </w:r>
            <w:r w:rsidRPr="00F23A9D">
              <w:rPr>
                <w:b w:val="0"/>
                <w:bCs w:val="0"/>
                <w:sz w:val="20"/>
                <w:vertAlign w:val="subscript"/>
              </w:rPr>
              <w:t>r</w:t>
            </w:r>
            <w:r w:rsidRPr="00F23A9D">
              <w:rPr>
                <w:b w:val="0"/>
                <w:bCs w:val="0"/>
                <w:sz w:val="20"/>
              </w:rPr>
              <w:t>S</w:t>
            </w:r>
          </w:p>
          <w:p w14:paraId="5F9EE10F" w14:textId="77777777" w:rsidR="00583476" w:rsidRPr="00F23A9D" w:rsidRDefault="00583476" w:rsidP="00583476">
            <w:pPr>
              <w:rPr>
                <w:rFonts w:eastAsia="SimSun"/>
                <w:b w:val="0"/>
                <w:bCs w:val="0"/>
                <w:color w:val="231F20"/>
                <w:sz w:val="22"/>
                <w:lang w:eastAsia="zh-CN"/>
              </w:rPr>
            </w:pPr>
          </w:p>
          <w:p w14:paraId="6D2CEFE9" w14:textId="77777777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i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Freie Reaktionsenthalpie, Gibbs-Helmholtz-Gleichung</w:t>
            </w:r>
            <w:r w:rsidRPr="00F23A9D">
              <w:rPr>
                <w:b w:val="0"/>
                <w:bCs w:val="0"/>
                <w:sz w:val="20"/>
              </w:rPr>
              <w:br/>
              <w:t>Δ</w:t>
            </w:r>
            <w:r w:rsidRPr="00F23A9D">
              <w:rPr>
                <w:b w:val="0"/>
                <w:bCs w:val="0"/>
                <w:sz w:val="20"/>
                <w:vertAlign w:val="subscript"/>
              </w:rPr>
              <w:t>r</w:t>
            </w:r>
            <w:r w:rsidRPr="00F23A9D">
              <w:rPr>
                <w:b w:val="0"/>
                <w:bCs w:val="0"/>
                <w:sz w:val="20"/>
              </w:rPr>
              <w:t>G,: Exergonische und endergonische Reaktionen, Berechnungsbeispiele</w:t>
            </w:r>
            <w:r w:rsidRPr="00F23A9D">
              <w:rPr>
                <w:b w:val="0"/>
                <w:bCs w:val="0"/>
                <w:sz w:val="20"/>
              </w:rPr>
              <w:br/>
              <w:t>Gültigkeit und Grenzen des Enthalpieminimum-Prinzips</w:t>
            </w:r>
          </w:p>
          <w:p w14:paraId="4DDD467A" w14:textId="77777777" w:rsidR="00583476" w:rsidRPr="00F23A9D" w:rsidRDefault="00583476" w:rsidP="00583476">
            <w:pPr>
              <w:rPr>
                <w:b w:val="0"/>
                <w:bCs w:val="0"/>
                <w:sz w:val="20"/>
              </w:rPr>
            </w:pPr>
          </w:p>
          <w:p w14:paraId="3CE59AE0" w14:textId="77777777" w:rsidR="00583476" w:rsidRPr="00F23A9D" w:rsidRDefault="00583476" w:rsidP="00583476">
            <w:pPr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 xml:space="preserve">Grenzen der energetischen Betrachtungsweise </w:t>
            </w:r>
          </w:p>
          <w:p w14:paraId="21F47DD1" w14:textId="7E7213C5" w:rsidR="00583476" w:rsidRPr="00F23A9D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F23A9D">
              <w:rPr>
                <w:b w:val="0"/>
                <w:bCs w:val="0"/>
                <w:sz w:val="20"/>
              </w:rPr>
              <w:t>Kinetische Hemmung / metastabile Zustände</w:t>
            </w:r>
          </w:p>
        </w:tc>
        <w:tc>
          <w:tcPr>
            <w:tcW w:w="6060" w:type="dxa"/>
          </w:tcPr>
          <w:p w14:paraId="382FD733" w14:textId="77777777" w:rsidR="00583476" w:rsidRPr="00002F7B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E5F82BE" w14:textId="77777777" w:rsidR="00583476" w:rsidRPr="00B46C12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lang w:val="en-US"/>
              </w:rPr>
            </w:pPr>
            <w:r w:rsidRPr="00B46C12">
              <w:rPr>
                <w:iCs/>
                <w:sz w:val="20"/>
                <w:lang w:val="en-US"/>
              </w:rPr>
              <w:t xml:space="preserve">Flipped Classroom </w:t>
            </w:r>
            <w:r>
              <w:rPr>
                <w:iCs/>
                <w:sz w:val="20"/>
                <w:lang w:val="en-US"/>
              </w:rPr>
              <w:br/>
              <w:t xml:space="preserve">(vgl. chemie.lilo-ma.de </w:t>
            </w:r>
            <w:r w:rsidRPr="00B46C12">
              <w:rPr>
                <w:iCs/>
                <w:sz w:val="20"/>
                <w:lang w:val="en-US"/>
              </w:rPr>
              <w:t>)</w:t>
            </w:r>
          </w:p>
          <w:p w14:paraId="512763E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lang w:val="en-US"/>
              </w:rPr>
            </w:pPr>
          </w:p>
          <w:p w14:paraId="6F2F72B2" w14:textId="77777777" w:rsidR="00583476" w:rsidRPr="00052FD0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lang w:val="en-GB"/>
              </w:rPr>
            </w:pPr>
          </w:p>
          <w:p w14:paraId="0A500D34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430295">
              <w:rPr>
                <w:iCs/>
                <w:sz w:val="20"/>
              </w:rPr>
              <w:t>Energieminimumprinzip (Thomson-Berthelot) als erste Arbeitshypothese</w:t>
            </w:r>
          </w:p>
          <w:p w14:paraId="3C174527" w14:textId="77777777" w:rsidR="00583476" w:rsidRPr="006379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637976">
              <w:rPr>
                <w:iCs/>
                <w:sz w:val="20"/>
              </w:rPr>
              <w:t>Anschauungsversuch “Auf den Blick</w:t>
            </w:r>
            <w:r>
              <w:rPr>
                <w:iCs/>
                <w:sz w:val="20"/>
              </w:rPr>
              <w:t>winkel kommt</w:t>
            </w:r>
            <w:r w:rsidRPr="00637976">
              <w:rPr>
                <w:iCs/>
                <w:sz w:val="20"/>
              </w:rPr>
              <w:t xml:space="preserve"> es an”</w:t>
            </w:r>
          </w:p>
          <w:p w14:paraId="63C4CB06" w14:textId="77777777" w:rsidR="00583476" w:rsidRPr="006379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637976">
              <w:rPr>
                <w:iCs/>
                <w:sz w:val="20"/>
              </w:rPr>
              <w:t xml:space="preserve">Kerzenflamme, Schwere Kerzenflamme (Massenverlust vs. </w:t>
            </w:r>
            <w:r>
              <w:rPr>
                <w:iCs/>
                <w:sz w:val="20"/>
              </w:rPr>
              <w:t>-z</w:t>
            </w:r>
            <w:r w:rsidRPr="00637976">
              <w:rPr>
                <w:iCs/>
                <w:sz w:val="20"/>
              </w:rPr>
              <w:t>unahme)</w:t>
            </w:r>
          </w:p>
          <w:p w14:paraId="0FAD879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0F3665C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iCs/>
                <w:sz w:val="20"/>
              </w:rPr>
              <w:t xml:space="preserve">Reaktion von Zink mit Salzsäure zur Erarbeitung des Zusammenhangs von Q mit </w:t>
            </w:r>
            <w:r>
              <w:rPr>
                <w:sz w:val="20"/>
              </w:rPr>
              <w:t>Δ</w:t>
            </w:r>
            <w:r>
              <w:rPr>
                <w:sz w:val="20"/>
                <w:vertAlign w:val="subscript"/>
              </w:rPr>
              <w:t>r</w:t>
            </w:r>
            <w:r>
              <w:rPr>
                <w:sz w:val="20"/>
              </w:rPr>
              <w:t xml:space="preserve">U und </w:t>
            </w:r>
            <w:r>
              <w:rPr>
                <w:rFonts w:eastAsia="SimSun"/>
                <w:sz w:val="22"/>
                <w:lang w:eastAsia="zh-CN"/>
              </w:rPr>
              <w:t>Δ</w:t>
            </w:r>
            <w:r>
              <w:rPr>
                <w:rFonts w:eastAsia="SimSun"/>
                <w:sz w:val="22"/>
                <w:vertAlign w:val="subscript"/>
                <w:lang w:eastAsia="zh-CN"/>
              </w:rPr>
              <w:t>r</w:t>
            </w:r>
            <w:r>
              <w:rPr>
                <w:rFonts w:eastAsia="SimSun"/>
                <w:sz w:val="22"/>
                <w:lang w:eastAsia="zh-CN"/>
              </w:rPr>
              <w:t>H</w:t>
            </w:r>
            <w:r>
              <w:rPr>
                <w:sz w:val="20"/>
              </w:rPr>
              <w:t xml:space="preserve"> , Volumenarbeit</w:t>
            </w:r>
          </w:p>
          <w:p w14:paraId="34EA2056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4E755D1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Diagramme und Animationen zur Veranschaulichung nutzen</w:t>
            </w:r>
          </w:p>
          <w:p w14:paraId="09D3ECD9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23203F8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Bestimmung der Wärmekapazität eines Dewar-Gefäßes mittels Mischversuch</w:t>
            </w:r>
          </w:p>
          <w:p w14:paraId="73CF1157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69D9250C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Neutralisationsreaktion im Dewar-Gefäß und Ermittlung der (molaren Neutralisationsentalphie)</w:t>
            </w:r>
          </w:p>
          <w:p w14:paraId="4A6F33AC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71E200F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Verbrennungsenthalpie von Holzkohle, (Zwieback) mit dem Low-Cost Verbrennungskalorimeter (Heizwert, Brennwert thematisieren, „Brennwert-Therme“ im Haushalt, vgl. Treibstoff E5 bzw. E10)</w:t>
            </w:r>
          </w:p>
          <w:p w14:paraId="49C0995E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Alternative: Verbrennungskalorimeter nach Theimann verwenden.</w:t>
            </w:r>
          </w:p>
          <w:p w14:paraId="7CC894A5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Heizwert von Kerzenwachs mit dem „Getränkedosenkalorimeter</w:t>
            </w:r>
            <w:r>
              <w:rPr>
                <w:rFonts w:eastAsia="SimSun"/>
                <w:sz w:val="22"/>
                <w:lang w:eastAsia="zh-CN"/>
              </w:rPr>
              <w:t>“</w:t>
            </w:r>
          </w:p>
          <w:p w14:paraId="35FB748E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Bestimmung der Reaktionsenthalpie, molaren Bildungsenthalpie (z.B. von Wolfram(IV)oxid, Eisen(II)sulfid)</w:t>
            </w:r>
          </w:p>
          <w:p w14:paraId="0AB333BF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br/>
              <w:t>digitale Messwerterfassung</w:t>
            </w:r>
            <w:r>
              <w:rPr>
                <w:iCs/>
                <w:sz w:val="20"/>
              </w:rPr>
              <w:br/>
            </w:r>
          </w:p>
          <w:p w14:paraId="17D4D6CB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z. B.: Reaktion von Bariumhydroxid mit Ammoniumthiocyanat, Bariumhydroxid-Octahydrat mit Ammoniumchlorid, Lösen von Kaliumnitrat etc</w:t>
            </w:r>
          </w:p>
          <w:p w14:paraId="5B40EA42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Mikro-/Makrozustände mit Münzen veranschaulichen</w:t>
            </w:r>
          </w:p>
          <w:p w14:paraId="6467CEE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D784C9A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0B1F990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ED25662" w14:textId="422E1F43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Knallgasreaktion, Wasserstoffperoxid-</w:t>
            </w:r>
          </w:p>
          <w:p w14:paraId="5648B7B4" w14:textId="77777777" w:rsidR="00583476" w:rsidRDefault="00583476" w:rsidP="00583476">
            <w:pPr>
              <w:shd w:val="clear" w:color="auto" w:fill="FFFFFF"/>
              <w:spacing w:before="60"/>
              <w:ind w:right="2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2"/>
                <w:lang w:eastAsia="zh-CN"/>
              </w:rPr>
            </w:pPr>
            <w:r>
              <w:rPr>
                <w:iCs/>
                <w:sz w:val="20"/>
              </w:rPr>
              <w:t>Zersetzung (z.B. Kontaktlinsen-Reinigungssystem)</w:t>
            </w:r>
          </w:p>
          <w:p w14:paraId="3B8B8DB9" w14:textId="77777777" w:rsidR="00583476" w:rsidRPr="005136B6" w:rsidRDefault="00583476" w:rsidP="0058347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D6387FB" w14:textId="77777777" w:rsidR="005136B6" w:rsidRDefault="005136B6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F23A9D" w14:paraId="49DC0D93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4333EBC9" w14:textId="31B9A952" w:rsidR="00F23A9D" w:rsidRPr="00F23A9D" w:rsidRDefault="00F23A9D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2</w:t>
            </w:r>
            <w:r w:rsidRPr="00F23A9D">
              <w:rPr>
                <w:rFonts w:ascii="Arial" w:hAnsi="Arial" w:cs="Arial"/>
              </w:rPr>
              <w:t>. Chemische</w:t>
            </w:r>
            <w:r w:rsidR="00583476">
              <w:rPr>
                <w:rFonts w:ascii="Arial" w:hAnsi="Arial" w:cs="Arial"/>
              </w:rPr>
              <w:t>s Gleichgewicht</w:t>
            </w:r>
          </w:p>
        </w:tc>
        <w:tc>
          <w:tcPr>
            <w:tcW w:w="2942" w:type="dxa"/>
          </w:tcPr>
          <w:p w14:paraId="39E96532" w14:textId="3E2E8734" w:rsidR="00F23A9D" w:rsidRPr="00D71CFF" w:rsidRDefault="00F23A9D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183BB1">
              <w:rPr>
                <w:rFonts w:ascii="Arial" w:hAnsi="Arial" w:cs="Arial"/>
                <w:b w:val="0"/>
              </w:rPr>
              <w:t>22</w:t>
            </w:r>
            <w:r w:rsidRPr="00F23A9D">
              <w:rPr>
                <w:rFonts w:ascii="Arial" w:hAnsi="Arial" w:cs="Arial"/>
                <w:b w:val="0"/>
              </w:rPr>
              <w:t>-</w:t>
            </w:r>
            <w:r w:rsidR="00183BB1">
              <w:rPr>
                <w:rFonts w:ascii="Arial" w:hAnsi="Arial" w:cs="Arial"/>
                <w:b w:val="0"/>
              </w:rPr>
              <w:t>30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7E647E93" w14:textId="7D747AE5" w:rsidR="005136B6" w:rsidRDefault="005136B6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8217"/>
        <w:gridCol w:w="6060"/>
      </w:tblGrid>
      <w:tr w:rsidR="00583476" w14:paraId="7A4F50CF" w14:textId="77777777" w:rsidTr="00583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217" w:type="dxa"/>
            <w:tcBorders>
              <w:top w:val="nil"/>
              <w:left w:val="nil"/>
            </w:tcBorders>
          </w:tcPr>
          <w:p w14:paraId="0687837A" w14:textId="7E404F51" w:rsidR="00583476" w:rsidRDefault="00583476" w:rsidP="00583476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14:paraId="17CBA395" w14:textId="3A5AEF76" w:rsidR="00583476" w:rsidRDefault="00583476" w:rsidP="0058347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583476" w14:paraId="73A3A7FC" w14:textId="77777777" w:rsidTr="005834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tcBorders>
              <w:top w:val="nil"/>
            </w:tcBorders>
          </w:tcPr>
          <w:p w14:paraId="4DE9ED5B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Umkehrbarkeit von Reaktionen verdeutlichen z.B.</w:t>
            </w:r>
          </w:p>
          <w:p w14:paraId="2243953A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Analyse/Synthese von Wasser, Bildung/Zerlegung von Zink(II)iodid, Bildung/Thermolyse von Ammoniumchlorid</w:t>
            </w:r>
          </w:p>
          <w:p w14:paraId="15C08B65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</w:p>
          <w:p w14:paraId="16B05372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Laufen Reaktionen vollständig ab?</w:t>
            </w:r>
          </w:p>
          <w:p w14:paraId="057E0745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Hypothese experimentell überprüfen anhand der Reaktion Silber-Ionen mit Eisen(II)-Ionen zu Silber und Eisen(III)-Ionen</w:t>
            </w:r>
          </w:p>
          <w:p w14:paraId="4EE9A726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</w:pPr>
          </w:p>
          <w:p w14:paraId="74BE48C6" w14:textId="77777777" w:rsidR="00583476" w:rsidRPr="00583476" w:rsidRDefault="00583476" w:rsidP="00583476">
            <w:pPr>
              <w:rPr>
                <w:rFonts w:eastAsia="SimSun"/>
                <w:b w:val="0"/>
                <w:bCs w:val="0"/>
                <w:i/>
                <w:color w:val="231F20"/>
                <w:sz w:val="20"/>
                <w:lang w:eastAsia="zh-CN"/>
              </w:rPr>
            </w:pPr>
          </w:p>
          <w:p w14:paraId="42FACA51" w14:textId="77777777" w:rsidR="00583476" w:rsidRPr="00583476" w:rsidRDefault="00583476" w:rsidP="00583476">
            <w:pPr>
              <w:rPr>
                <w:b w:val="0"/>
                <w:bCs w:val="0"/>
                <w:sz w:val="20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Reaktionsgeschwindigkeit als Konzentrationsveränderung pro Zeit,  v~c(Edukte)  (Definition, Messmethoden)</w:t>
            </w: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br/>
            </w:r>
            <w:r w:rsidRPr="00583476">
              <w:rPr>
                <w:b w:val="0"/>
                <w:bCs w:val="0"/>
                <w:sz w:val="20"/>
              </w:rPr>
              <w:t xml:space="preserve">Stoßtheorie (Kollisionstheorie), </w:t>
            </w:r>
            <w:r w:rsidRPr="00583476">
              <w:rPr>
                <w:b w:val="0"/>
                <w:bCs w:val="0"/>
                <w:sz w:val="20"/>
              </w:rPr>
              <w:br/>
              <w:t>Einflussfaktoren:  Temperaturabhängigkeit, Katalysator</w:t>
            </w:r>
          </w:p>
          <w:p w14:paraId="2A305EF7" w14:textId="77777777" w:rsidR="00583476" w:rsidRPr="00583476" w:rsidRDefault="00583476" w:rsidP="00583476">
            <w:pPr>
              <w:rPr>
                <w:b w:val="0"/>
                <w:bCs w:val="0"/>
                <w:sz w:val="20"/>
              </w:rPr>
            </w:pPr>
          </w:p>
          <w:p w14:paraId="1CB805E5" w14:textId="77777777" w:rsidR="00583476" w:rsidRPr="00583476" w:rsidRDefault="00583476" w:rsidP="00583476">
            <w:pPr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Gleichgewichtseinstellung als v(hin) = v(rück)</w:t>
            </w:r>
          </w:p>
          <w:p w14:paraId="5AC6E5B3" w14:textId="77777777" w:rsidR="00583476" w:rsidRPr="00583476" w:rsidRDefault="00583476" w:rsidP="00583476">
            <w:pPr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Kennzeichen und Kriterien des dynamischen Gleichgewichts</w:t>
            </w:r>
          </w:p>
          <w:p w14:paraId="1B66F71F" w14:textId="77777777" w:rsidR="00583476" w:rsidRPr="00583476" w:rsidRDefault="00583476" w:rsidP="00583476">
            <w:pPr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z.B.  Veresterung/Hydrolyse</w:t>
            </w:r>
            <w:r w:rsidRPr="00583476">
              <w:rPr>
                <w:b w:val="0"/>
                <w:bCs w:val="0"/>
                <w:i/>
                <w:sz w:val="20"/>
              </w:rPr>
              <w:br/>
            </w:r>
          </w:p>
          <w:p w14:paraId="582313BC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i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br/>
              <w:t>Massenwirkungsgesetz</w:t>
            </w:r>
            <w:r w:rsidRPr="00583476">
              <w:rPr>
                <w:b w:val="0"/>
                <w:bCs w:val="0"/>
                <w:sz w:val="20"/>
              </w:rPr>
              <w:br/>
              <w:t>Berechnungen von Gleichgewichtskonzentrationen, Gleichgewichtskonstanten</w:t>
            </w:r>
            <w:r w:rsidRPr="00583476">
              <w:rPr>
                <w:b w:val="0"/>
                <w:bCs w:val="0"/>
                <w:i/>
                <w:sz w:val="20"/>
              </w:rPr>
              <w:t xml:space="preserve"> </w:t>
            </w:r>
          </w:p>
          <w:p w14:paraId="54B90B55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59F49544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Gleichgewichtsverschiebungen</w:t>
            </w:r>
            <w:r w:rsidRPr="00583476">
              <w:rPr>
                <w:b w:val="0"/>
                <w:bCs w:val="0"/>
                <w:sz w:val="20"/>
              </w:rPr>
              <w:br/>
              <w:t>Einfluss von Konzentrations-, Druck- und Temperaturänderungen</w:t>
            </w:r>
          </w:p>
          <w:p w14:paraId="170F464B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</w:pPr>
            <w:r w:rsidRPr="00583476">
              <w:rPr>
                <w:rFonts w:eastAsia="SimSun"/>
                <w:b w:val="0"/>
                <w:bCs w:val="0"/>
                <w:color w:val="231F20"/>
                <w:sz w:val="20"/>
                <w:lang w:eastAsia="zh-CN"/>
              </w:rPr>
              <w:t>Prinzip von Le Chatelier</w:t>
            </w:r>
          </w:p>
          <w:p w14:paraId="40087700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FCA06FB" w14:textId="77777777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lastRenderedPageBreak/>
              <w:t>Ammoniaksynthese nach Haber-Bosch</w:t>
            </w:r>
          </w:p>
          <w:p w14:paraId="247A85B4" w14:textId="25F31B59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Historie, Herausforderungen im Labor bzw. im großtechnischen Maßstab;  Anwendung des Prinzips vom kleinsten Zwang</w:t>
            </w:r>
            <w:r w:rsidRPr="00583476">
              <w:rPr>
                <w:b w:val="0"/>
                <w:bCs w:val="0"/>
                <w:sz w:val="20"/>
              </w:rPr>
              <w:br/>
            </w:r>
            <w:r w:rsidRPr="00583476">
              <w:rPr>
                <w:b w:val="0"/>
                <w:bCs w:val="0"/>
                <w:sz w:val="20"/>
              </w:rPr>
              <w:br/>
              <w:t>Kompromiss der Reaktionsbedingungen</w:t>
            </w:r>
            <w:r w:rsidRPr="00583476">
              <w:rPr>
                <w:b w:val="0"/>
                <w:bCs w:val="0"/>
                <w:sz w:val="20"/>
              </w:rPr>
              <w:br/>
            </w:r>
          </w:p>
          <w:p w14:paraId="17EE67D2" w14:textId="3AA18688" w:rsidR="00583476" w:rsidRPr="00583476" w:rsidRDefault="00583476" w:rsidP="00583476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</w:tc>
        <w:tc>
          <w:tcPr>
            <w:tcW w:w="6060" w:type="dxa"/>
            <w:tcBorders>
              <w:top w:val="nil"/>
            </w:tcBorders>
          </w:tcPr>
          <w:p w14:paraId="1C410E8B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Low-Cost-Versionen: Pipetten-Elektrolyse und Knallgasreaktion o. Spritzentechnik, Elektrolyse von Zink(II)-iodid auf Objektträger, Synthese von Zink(II)-iodid mit wenigen Tropfen Wasser</w:t>
            </w:r>
          </w:p>
          <w:p w14:paraId="06D7B594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C5DA265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F2BB5F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Schülerpraktikum (Nachweis von Eisen(II)- und Eisen(III)-Ionen mit </w:t>
            </w:r>
            <w:r w:rsidRPr="00E92FD4">
              <w:rPr>
                <w:iCs/>
                <w:sz w:val="20"/>
              </w:rPr>
              <w:t>Kaliumhexacyanoferrat(III)-Lösung</w:t>
            </w:r>
            <w:r>
              <w:rPr>
                <w:iCs/>
                <w:sz w:val="20"/>
              </w:rPr>
              <w:t xml:space="preserve"> nach quantitativem Umsatz</w:t>
            </w:r>
          </w:p>
          <w:p w14:paraId="5AEF8955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2747738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90E640E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Versuchsplanung</w:t>
            </w:r>
          </w:p>
          <w:p w14:paraId="78213636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z. B.: Zersetzung von Wasserstoffperoxid mit Kaliumiodid (Volumetrie), Reaktion von Marmor granuliert mit Salzsäure (Massenbestimmung)</w:t>
            </w:r>
          </w:p>
          <w:p w14:paraId="2D29C09C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Stechheber-Versuch als Modellexperiment</w:t>
            </w:r>
          </w:p>
          <w:p w14:paraId="35CEF86A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keine Behandlung von Reaktionsordnungen</w:t>
            </w:r>
          </w:p>
          <w:p w14:paraId="601CC8E2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„Schauexperiment“ Synthetisches Bier, Ioduhr</w:t>
            </w:r>
          </w:p>
          <w:p w14:paraId="4B535FCA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588EB27B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z. B. Messwerterfassung zur Veresterung/ Esterhydrolyse;</w:t>
            </w:r>
            <w:r>
              <w:rPr>
                <w:iCs/>
                <w:sz w:val="20"/>
              </w:rPr>
              <w:br/>
              <w:t>Stechheber-Versuch, „Holzapfelkrieg“ (Grafisch oder als Modellexperiment mit Tennisbällen), Einsatzmöglichkeit von Simulationen (Excel-Dateien)</w:t>
            </w:r>
          </w:p>
          <w:p w14:paraId="7561FA50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Simulationssoftware zum Stechheber-Versuch:</w:t>
            </w:r>
          </w:p>
          <w:p w14:paraId="4ACCC2E7" w14:textId="77777777" w:rsidR="00583476" w:rsidRDefault="00D02B6A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hyperlink r:id="rId8" w:history="1">
              <w:r w:rsidR="00583476" w:rsidRPr="00E42966">
                <w:rPr>
                  <w:rStyle w:val="Hyperlink"/>
                  <w:iCs/>
                  <w:sz w:val="20"/>
                </w:rPr>
                <w:t>https://www.lpm.uni-sb.de/typo3/index.php?id=826</w:t>
              </w:r>
            </w:hyperlink>
            <w:r w:rsidR="00583476">
              <w:rPr>
                <w:iCs/>
                <w:sz w:val="20"/>
              </w:rPr>
              <w:t xml:space="preserve"> </w:t>
            </w:r>
          </w:p>
          <w:p w14:paraId="2C5DEADD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A07FD0C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pq-Formel, Interpretation der zwei mathematischen Lösungen</w:t>
            </w:r>
          </w:p>
          <w:p w14:paraId="0F838A42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  <w:r>
              <w:rPr>
                <w:iCs/>
                <w:sz w:val="20"/>
              </w:rPr>
              <w:br/>
            </w:r>
            <w:r>
              <w:rPr>
                <w:rFonts w:eastAsia="SimSun"/>
                <w:color w:val="231F20"/>
                <w:sz w:val="20"/>
                <w:lang w:eastAsia="zh-CN"/>
              </w:rPr>
              <w:t>Stickoxidampullen (käuflich zu erwerben)</w:t>
            </w:r>
          </w:p>
          <w:p w14:paraId="445BB1BC" w14:textId="77777777" w:rsid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 xml:space="preserve">z. B: Rhodanidgleichgewicht, Stickstoff-dioxid/Distickstofftetroxid-Gleichgewicht </w:t>
            </w:r>
          </w:p>
          <w:p w14:paraId="0CBE5623" w14:textId="77777777" w:rsidR="00583476" w:rsidRPr="009868E7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  <w:r>
              <w:rPr>
                <w:rFonts w:eastAsia="SimSun"/>
                <w:color w:val="231F20"/>
                <w:sz w:val="20"/>
                <w:lang w:eastAsia="zh-CN"/>
              </w:rPr>
              <w:t>Gruppenpuzzle (Gruppe Temperatur-, Druck-, Konzentrationseinfluss)</w:t>
            </w:r>
          </w:p>
          <w:p w14:paraId="7CFB3236" w14:textId="77777777" w:rsidR="00583476" w:rsidRPr="009868E7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</w:p>
          <w:p w14:paraId="4BC235FB" w14:textId="77777777" w:rsidR="00583476" w:rsidRPr="0035180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</w:p>
          <w:p w14:paraId="749DBB77" w14:textId="77777777" w:rsidR="00583476" w:rsidRPr="0035180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</w:p>
          <w:p w14:paraId="622DC9E7" w14:textId="77777777" w:rsidR="00583476" w:rsidRPr="0035180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  <w:r w:rsidRPr="00351806">
              <w:rPr>
                <w:rFonts w:eastAsia="SimSun"/>
                <w:color w:val="231F20"/>
                <w:sz w:val="20"/>
                <w:lang w:eastAsia="zh-CN"/>
              </w:rPr>
              <w:t>Porträt Haber</w:t>
            </w:r>
          </w:p>
          <w:p w14:paraId="11A77E8F" w14:textId="77777777" w:rsidR="00583476" w:rsidRDefault="00583476" w:rsidP="00583476">
            <w:pPr>
              <w:shd w:val="clear" w:color="auto" w:fill="FFFFFF"/>
              <w:spacing w:before="60"/>
              <w:ind w:right="2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51806">
              <w:rPr>
                <w:sz w:val="20"/>
              </w:rPr>
              <w:t>Probleme d</w:t>
            </w:r>
            <w:r>
              <w:rPr>
                <w:sz w:val="20"/>
              </w:rPr>
              <w:t xml:space="preserve">er Welternährung, Düngemittel, </w:t>
            </w:r>
          </w:p>
          <w:p w14:paraId="61AEED0B" w14:textId="77777777" w:rsidR="00583476" w:rsidRPr="00351806" w:rsidRDefault="00583476" w:rsidP="00583476">
            <w:pPr>
              <w:shd w:val="clear" w:color="auto" w:fill="FFFFFF"/>
              <w:spacing w:before="60"/>
              <w:ind w:right="2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(GFS </w:t>
            </w:r>
            <w:r w:rsidRPr="00351806">
              <w:rPr>
                <w:sz w:val="20"/>
              </w:rPr>
              <w:t>Stickstoffkreis</w:t>
            </w:r>
            <w:r>
              <w:rPr>
                <w:sz w:val="20"/>
              </w:rPr>
              <w:t>lauf)</w:t>
            </w:r>
          </w:p>
          <w:p w14:paraId="0EC8A893" w14:textId="77777777" w:rsidR="00583476" w:rsidRPr="0035180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color w:val="231F20"/>
                <w:sz w:val="20"/>
                <w:lang w:eastAsia="zh-CN"/>
              </w:rPr>
            </w:pPr>
          </w:p>
          <w:p w14:paraId="6BDC0B1F" w14:textId="3CBDC87B" w:rsidR="00583476" w:rsidRPr="00583476" w:rsidRDefault="00583476" w:rsidP="005834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Exkurs: </w:t>
            </w:r>
            <w:r w:rsidRPr="00351806">
              <w:rPr>
                <w:iCs/>
                <w:sz w:val="20"/>
              </w:rPr>
              <w:t>Löslichkeitsprodukt</w:t>
            </w:r>
          </w:p>
        </w:tc>
      </w:tr>
    </w:tbl>
    <w:p w14:paraId="789BA7F6" w14:textId="57C0DD0A" w:rsidR="00F23A9D" w:rsidRDefault="00F23A9D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583476" w14:paraId="45E534FE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15BB8D20" w14:textId="1681F939" w:rsidR="00583476" w:rsidRPr="00F23A9D" w:rsidRDefault="00583476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583476">
              <w:rPr>
                <w:rFonts w:ascii="Arial" w:hAnsi="Arial" w:cs="Arial"/>
              </w:rPr>
              <w:t>Säure-Base-Gleichgewichte</w:t>
            </w:r>
          </w:p>
        </w:tc>
        <w:tc>
          <w:tcPr>
            <w:tcW w:w="2942" w:type="dxa"/>
          </w:tcPr>
          <w:p w14:paraId="5721C73C" w14:textId="2F9F0133" w:rsidR="00583476" w:rsidRPr="00D71CFF" w:rsidRDefault="00583476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183BB1">
              <w:rPr>
                <w:rFonts w:ascii="Arial" w:hAnsi="Arial" w:cs="Arial"/>
                <w:b w:val="0"/>
              </w:rPr>
              <w:t>30-40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1CECB7FB" w14:textId="003BFC2F" w:rsidR="00583476" w:rsidRDefault="00583476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583476" w14:paraId="42F02F43" w14:textId="77777777" w:rsidTr="00583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5B30FA32" w14:textId="11C8F428" w:rsidR="00583476" w:rsidRDefault="00583476" w:rsidP="00583476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B476F" w14:textId="15F5DEFD" w:rsidR="00583476" w:rsidRDefault="00583476" w:rsidP="0058347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1B47CF" w14:paraId="10B4D37D" w14:textId="77777777" w:rsidTr="001B47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1C9065BE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Die Säure-Base-Theorie</w:t>
            </w:r>
            <w:r w:rsidRPr="00583476">
              <w:rPr>
                <w:b w:val="0"/>
                <w:bCs w:val="0"/>
                <w:sz w:val="20"/>
              </w:rPr>
              <w:br/>
              <w:t xml:space="preserve">nach </w:t>
            </w:r>
            <w:r w:rsidRPr="00583476">
              <w:rPr>
                <w:b w:val="0"/>
                <w:bCs w:val="0"/>
                <w:color w:val="231F20"/>
                <w:sz w:val="20"/>
              </w:rPr>
              <w:t>BRØNSTED</w:t>
            </w:r>
          </w:p>
          <w:p w14:paraId="6A9BE357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Säure-Base-Begriff und korrespondierende Säure-Base-Paare</w:t>
            </w:r>
            <w:r w:rsidRPr="00583476">
              <w:rPr>
                <w:b w:val="0"/>
                <w:bCs w:val="0"/>
                <w:sz w:val="20"/>
              </w:rPr>
              <w:br/>
              <w:t>Donator-Akzeptor-Prinzip</w:t>
            </w:r>
          </w:p>
          <w:p w14:paraId="796D7F15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</w:p>
          <w:p w14:paraId="78B139D8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pH-Werte wässriger Lösungen (Definition)</w:t>
            </w:r>
          </w:p>
          <w:p w14:paraId="4204FEFE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Autoprotolyse des Wassers und pH-Wert</w:t>
            </w:r>
          </w:p>
          <w:p w14:paraId="54B722ED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Ionenprodukt des Wassers</w:t>
            </w:r>
          </w:p>
          <w:p w14:paraId="10C3B0F9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 xml:space="preserve">starke Säuren und Basen </w:t>
            </w:r>
            <w:r w:rsidRPr="00583476">
              <w:rPr>
                <w:b w:val="0"/>
                <w:bCs w:val="0"/>
                <w:color w:val="231F20"/>
                <w:sz w:val="20"/>
              </w:rPr>
              <w:t>(einfache Berechnungen von pH-Werten)</w:t>
            </w:r>
          </w:p>
          <w:p w14:paraId="3E68EFE3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</w:p>
          <w:p w14:paraId="5AC7B07A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pH-Wert-Vergleich einer Essigsäure- mit einer Salzsäure-Lösung jeweils c = 0,1 mol/l</w:t>
            </w:r>
            <w:r w:rsidRPr="00583476">
              <w:rPr>
                <w:b w:val="0"/>
                <w:bCs w:val="0"/>
                <w:sz w:val="20"/>
              </w:rPr>
              <w:t xml:space="preserve">  </w:t>
            </w:r>
            <w:r w:rsidRPr="00583476">
              <w:rPr>
                <w:b w:val="0"/>
                <w:bCs w:val="0"/>
                <w:sz w:val="20"/>
              </w:rPr>
              <w:sym w:font="Wingdings" w:char="F0E0"/>
            </w:r>
            <w:r w:rsidRPr="00583476">
              <w:rPr>
                <w:b w:val="0"/>
                <w:bCs w:val="0"/>
                <w:sz w:val="20"/>
              </w:rPr>
              <w:t xml:space="preserve"> Gleichgewichtsbetrachtung, MWG</w:t>
            </w:r>
          </w:p>
          <w:p w14:paraId="39CA306E" w14:textId="09526AF5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 xml:space="preserve">pH-Wert-Berechnungen, ausgehend vom MWG (Näherungsverfahren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vertAlign w:val="subscript"/>
                </w:rPr>
                <w:br/>
              </m:r>
              <m:sSub>
                <m:sSubPr>
                  <m:ctrlPr>
                    <w:rPr>
                      <w:rFonts w:ascii="Cambria Math" w:hAnsi="Cambria Math"/>
                      <w:b w:val="0"/>
                      <w:bCs w:val="0"/>
                      <w:i/>
                      <w:iCs/>
                      <w:sz w:val="20"/>
                      <w:vertAlign w:val="subscript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vertAlign w:val="subscript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vertAlign w:val="subscript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0"/>
                  <w:vertAlign w:val="subscript"/>
                </w:rPr>
                <m:t>=c</m:t>
              </m:r>
            </m:oMath>
            <w:r w:rsidRPr="00583476">
              <w:rPr>
                <w:b w:val="0"/>
                <w:bCs w:val="0"/>
                <w:sz w:val="20"/>
              </w:rPr>
              <w:t xml:space="preserve"> )</w:t>
            </w:r>
          </w:p>
          <w:p w14:paraId="1CB0CC52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Die Stärke von Säuren und Basen (mit pH-Berechnung)</w:t>
            </w:r>
          </w:p>
          <w:p w14:paraId="459B2FE5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pK</w:t>
            </w:r>
            <w:r w:rsidRPr="00583476">
              <w:rPr>
                <w:b w:val="0"/>
                <w:bCs w:val="0"/>
                <w:sz w:val="20"/>
                <w:vertAlign w:val="subscript"/>
              </w:rPr>
              <w:t>s</w:t>
            </w:r>
            <w:r w:rsidRPr="00583476">
              <w:rPr>
                <w:b w:val="0"/>
                <w:bCs w:val="0"/>
                <w:sz w:val="20"/>
              </w:rPr>
              <w:t xml:space="preserve"> und pK</w:t>
            </w:r>
            <w:r w:rsidRPr="00583476">
              <w:rPr>
                <w:b w:val="0"/>
                <w:bCs w:val="0"/>
                <w:sz w:val="20"/>
                <w:vertAlign w:val="subscript"/>
              </w:rPr>
              <w:t>B</w:t>
            </w:r>
            <w:r w:rsidRPr="00583476">
              <w:rPr>
                <w:b w:val="0"/>
                <w:bCs w:val="0"/>
                <w:sz w:val="20"/>
              </w:rPr>
              <w:t>-Werte als klassifizierende Größe für die Stärke von Säuren und Basen</w:t>
            </w:r>
          </w:p>
          <w:p w14:paraId="6D893051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430F823F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4504773D" w14:textId="77777777" w:rsidR="001B47CF" w:rsidRPr="00583476" w:rsidRDefault="001B47CF" w:rsidP="001B47CF">
            <w:pPr>
              <w:rPr>
                <w:b w:val="0"/>
                <w:bCs w:val="0"/>
                <w:iCs/>
                <w:sz w:val="20"/>
              </w:rPr>
            </w:pPr>
            <w:r w:rsidRPr="00583476">
              <w:rPr>
                <w:b w:val="0"/>
                <w:bCs w:val="0"/>
                <w:iCs/>
                <w:sz w:val="20"/>
              </w:rPr>
              <w:t>Übungsaufgaben zur pH-Berechnung</w:t>
            </w:r>
          </w:p>
          <w:p w14:paraId="575F3C85" w14:textId="77777777" w:rsidR="001B47CF" w:rsidRPr="00583476" w:rsidRDefault="001B47CF" w:rsidP="001B47CF">
            <w:pPr>
              <w:rPr>
                <w:b w:val="0"/>
                <w:bCs w:val="0"/>
                <w:iCs/>
                <w:sz w:val="20"/>
              </w:rPr>
            </w:pPr>
            <w:r w:rsidRPr="00583476">
              <w:rPr>
                <w:b w:val="0"/>
                <w:bCs w:val="0"/>
                <w:iCs/>
                <w:sz w:val="20"/>
              </w:rPr>
              <w:t>Interpretieren von Tabellenwerten</w:t>
            </w:r>
          </w:p>
          <w:p w14:paraId="7BA1A097" w14:textId="77777777" w:rsidR="001B47CF" w:rsidRPr="00583476" w:rsidRDefault="001B47CF" w:rsidP="001B47CF">
            <w:pPr>
              <w:rPr>
                <w:b w:val="0"/>
                <w:bCs w:val="0"/>
                <w:iCs/>
                <w:sz w:val="20"/>
              </w:rPr>
            </w:pPr>
            <w:r w:rsidRPr="00583476">
              <w:rPr>
                <w:b w:val="0"/>
                <w:bCs w:val="0"/>
                <w:iCs/>
                <w:sz w:val="20"/>
              </w:rPr>
              <w:t>Diskussion von Gleichgewichtslagen</w:t>
            </w:r>
          </w:p>
          <w:p w14:paraId="029ABEBD" w14:textId="77777777" w:rsidR="001B47CF" w:rsidRPr="00583476" w:rsidRDefault="001B47CF" w:rsidP="001B47CF">
            <w:pPr>
              <w:rPr>
                <w:b w:val="0"/>
                <w:bCs w:val="0"/>
                <w:iCs/>
                <w:sz w:val="20"/>
              </w:rPr>
            </w:pPr>
            <w:r w:rsidRPr="00583476">
              <w:rPr>
                <w:b w:val="0"/>
                <w:bCs w:val="0"/>
                <w:iCs/>
                <w:sz w:val="20"/>
              </w:rPr>
              <w:t>Übungsaufgaben</w:t>
            </w:r>
          </w:p>
          <w:p w14:paraId="05941222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5FE024EF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34F5CF73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lastRenderedPageBreak/>
              <w:t>Säure-Base-Titration zur Konzentrationsbestimmung mit Indikator und pH-Meter (Salzsäure bzw. Essigsäure mit Natronlauge)</w:t>
            </w:r>
          </w:p>
          <w:p w14:paraId="55243476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Aufnehmen von Titrationskurven</w:t>
            </w:r>
          </w:p>
          <w:p w14:paraId="68FD69DB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Interpretation des Kurvenverlaufs (Anfangs-, Endpunkt, (Halb)-Äquivalenzpunkt)</w:t>
            </w:r>
          </w:p>
          <w:p w14:paraId="5CD2F257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23A7D025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Halbäquivalenzpunkt, Essigsäure/Acetat-Puffer</w:t>
            </w:r>
          </w:p>
          <w:p w14:paraId="77E8DB6D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Pufferlösungen</w:t>
            </w:r>
            <w:r w:rsidRPr="00583476">
              <w:rPr>
                <w:b w:val="0"/>
                <w:bCs w:val="0"/>
                <w:sz w:val="20"/>
              </w:rPr>
              <w:t>-Definition und Anwendung</w:t>
            </w:r>
          </w:p>
          <w:p w14:paraId="3B36E972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Indikatoren als schwache Säuren</w:t>
            </w:r>
          </w:p>
          <w:p w14:paraId="44A69634" w14:textId="77777777" w:rsidR="001B47CF" w:rsidRPr="00583476" w:rsidRDefault="001B47CF" w:rsidP="001B47CF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583476">
              <w:rPr>
                <w:b w:val="0"/>
                <w:bCs w:val="0"/>
                <w:sz w:val="20"/>
              </w:rPr>
              <w:t>Praktikum DC Universalindikator</w:t>
            </w:r>
          </w:p>
          <w:p w14:paraId="45DD0FEC" w14:textId="77777777" w:rsidR="001B47CF" w:rsidRPr="00583476" w:rsidRDefault="001B47CF" w:rsidP="001B47CF">
            <w:pPr>
              <w:spacing w:line="360" w:lineRule="auto"/>
              <w:rPr>
                <w:b w:val="0"/>
                <w:bCs w:val="0"/>
                <w:color w:val="231F20"/>
                <w:sz w:val="20"/>
                <w:szCs w:val="18"/>
              </w:rPr>
            </w:pPr>
            <w:r w:rsidRPr="00583476">
              <w:rPr>
                <w:b w:val="0"/>
                <w:bCs w:val="0"/>
                <w:color w:val="231F20"/>
                <w:sz w:val="20"/>
                <w:szCs w:val="18"/>
              </w:rPr>
              <w:t>Indikatorwahl bei Titrationen</w:t>
            </w:r>
          </w:p>
          <w:p w14:paraId="4CB8B211" w14:textId="77777777" w:rsidR="001B47CF" w:rsidRPr="00583476" w:rsidRDefault="001B47CF" w:rsidP="001B47CF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color w:val="231F20"/>
                <w:sz w:val="20"/>
              </w:rPr>
            </w:pPr>
            <w:r w:rsidRPr="00583476">
              <w:rPr>
                <w:b w:val="0"/>
                <w:bCs w:val="0"/>
                <w:color w:val="231F20"/>
                <w:sz w:val="20"/>
              </w:rPr>
              <w:t>Säure-Base-Titrationen</w:t>
            </w:r>
            <w:r w:rsidRPr="00583476">
              <w:rPr>
                <w:b w:val="0"/>
                <w:bCs w:val="0"/>
                <w:sz w:val="20"/>
              </w:rPr>
              <w:t xml:space="preserve"> </w:t>
            </w:r>
            <w:r w:rsidRPr="00583476">
              <w:rPr>
                <w:b w:val="0"/>
                <w:bCs w:val="0"/>
                <w:color w:val="231F20"/>
                <w:sz w:val="20"/>
              </w:rPr>
              <w:t>und Indikatoren</w:t>
            </w:r>
          </w:p>
          <w:p w14:paraId="1EEF5E5C" w14:textId="77777777" w:rsidR="001B47CF" w:rsidRDefault="001B47CF" w:rsidP="001B47CF">
            <w:pPr>
              <w:shd w:val="clear" w:color="auto" w:fill="FFFFFF"/>
              <w:spacing w:before="60"/>
              <w:ind w:right="204" w:hanging="6"/>
              <w:rPr>
                <w:sz w:val="20"/>
              </w:rPr>
            </w:pPr>
          </w:p>
          <w:p w14:paraId="6003BCBF" w14:textId="77777777" w:rsidR="001B47CF" w:rsidRDefault="001B47CF" w:rsidP="001B47CF">
            <w:pPr>
              <w:shd w:val="clear" w:color="auto" w:fill="FFFFFF"/>
              <w:spacing w:before="60"/>
              <w:ind w:right="204"/>
              <w:rPr>
                <w:sz w:val="20"/>
              </w:rPr>
            </w:pPr>
          </w:p>
          <w:p w14:paraId="0A6CD69D" w14:textId="77777777" w:rsidR="001B47CF" w:rsidRDefault="001B47CF" w:rsidP="001B47CF">
            <w:pPr>
              <w:shd w:val="clear" w:color="auto" w:fill="FFFFFF"/>
              <w:spacing w:before="60"/>
              <w:ind w:right="204"/>
              <w:rPr>
                <w:sz w:val="20"/>
              </w:rPr>
            </w:pPr>
          </w:p>
          <w:p w14:paraId="2FC0009F" w14:textId="77777777" w:rsidR="001B47CF" w:rsidRPr="00583476" w:rsidRDefault="001B47CF" w:rsidP="001B47CF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</w:tc>
        <w:tc>
          <w:tcPr>
            <w:tcW w:w="6339" w:type="dxa"/>
            <w:tcBorders>
              <w:top w:val="nil"/>
            </w:tcBorders>
          </w:tcPr>
          <w:p w14:paraId="7BAF9B77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Wiederholende Übungen („Eggrace – Identifikation von 4 Gasen (Ammoniak, Chlorwasserstoff, Kohlenstoffdioxid, Stickstoff) mit nur zwei Indikatorlösungen  (Thymolphtalein-, Universalindikator-Lösung) Spritzenpraktikum</w:t>
            </w:r>
          </w:p>
          <w:p w14:paraId="1AEC129A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6D9266D9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Übungen</w:t>
            </w:r>
          </w:p>
          <w:p w14:paraId="248088EC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(Logarithmen-Gesetzte aus dem Mathematik-Unterricht evtl. nur rudimentär vorhanden)</w:t>
            </w:r>
          </w:p>
          <w:p w14:paraId="72118366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4EACCB4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5EBBD78D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Einsatz von Hand-pH-Metern</w:t>
            </w:r>
          </w:p>
          <w:p w14:paraId="674924F8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C1C3BBF" w14:textId="77777777" w:rsidR="001B47CF" w:rsidRPr="006E19F3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vertAlign w:val="subscript"/>
              </w:rPr>
            </w:pPr>
          </w:p>
          <w:p w14:paraId="622CFFAD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3598243" w14:textId="77777777" w:rsidR="001B47CF" w:rsidRDefault="001B47CF" w:rsidP="001B47C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Vorhersagen zu Salzlösungen treffen:</w:t>
            </w:r>
            <w:r>
              <w:rPr>
                <w:sz w:val="20"/>
              </w:rPr>
              <w:br/>
              <w:t>Praktikum zur Identifikation von weißen Salzen (z.B. Natriumcarbonat, Natriumacetat. Natriumhydrogensulfat, Ammoniumchlorid…)</w:t>
            </w:r>
          </w:p>
          <w:p w14:paraId="4BE72C31" w14:textId="77777777" w:rsidR="001B47CF" w:rsidRPr="002D55B0" w:rsidRDefault="001B47CF" w:rsidP="001B47CF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7E972458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Besonderheiten rund um Kohlensäure (Experimente mit dem Sodastream)</w:t>
            </w:r>
          </w:p>
          <w:p w14:paraId="075A4E4A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E7A2C59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0042667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5A420F9D" w14:textId="29F70645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04B857F1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35DDDD7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31458D9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EA14B35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CCF09F1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 xml:space="preserve">Messwerterfassung, </w:t>
            </w:r>
          </w:p>
          <w:p w14:paraId="2DBD4CA7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Simulation mit AKLabor</w:t>
            </w:r>
          </w:p>
          <w:p w14:paraId="52325DEF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730796B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Weitere Titrationen:</w:t>
            </w:r>
          </w:p>
          <w:p w14:paraId="59AEE233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Bestimmung der Konzentration einer Brezellauge/Essig durch Titration ; weitere Lebensmittel: Milchprodukte, Getränke</w:t>
            </w:r>
          </w:p>
          <w:p w14:paraId="2528A0AF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</w:p>
          <w:p w14:paraId="22A93178" w14:textId="77777777" w:rsidR="001B47CF" w:rsidRPr="009868E7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(Exkurs: Leitfähigkeitstitration/Konduktometrie)</w:t>
            </w:r>
          </w:p>
          <w:p w14:paraId="4FDB7E8B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2926BF2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Puffersysteme im Alltag (Blutpuffer, Boden)</w:t>
            </w:r>
          </w:p>
          <w:p w14:paraId="3643E766" w14:textId="77777777" w:rsidR="001B47CF" w:rsidRPr="009868E7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Blutpuffer-Simulationsexperiment (Einfluss der Atmung)</w:t>
            </w:r>
          </w:p>
          <w:p w14:paraId="66110EA4" w14:textId="77777777" w:rsidR="001B47CF" w:rsidRPr="009868E7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</w:p>
          <w:p w14:paraId="376B9A92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8178B19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Pufferwirkung bei Zusatz einer verdünnten Säure bzw. Base</w:t>
            </w:r>
          </w:p>
          <w:p w14:paraId="3A403358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BFE9B26" w14:textId="77777777" w:rsidR="001B47CF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Puffersysteme im Alltag (Blutpuffer und Atmung)</w:t>
            </w:r>
          </w:p>
          <w:p w14:paraId="0192D507" w14:textId="77777777" w:rsidR="001B47CF" w:rsidRPr="000771FE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</w:rPr>
            </w:pPr>
          </w:p>
          <w:p w14:paraId="02083A65" w14:textId="04222EFE" w:rsidR="001B47CF" w:rsidRPr="00583476" w:rsidRDefault="001B47CF" w:rsidP="001B4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</w:tbl>
    <w:p w14:paraId="1846477B" w14:textId="75A8CE73" w:rsidR="00583476" w:rsidRDefault="00583476" w:rsidP="005136B6">
      <w:pPr>
        <w:spacing w:line="276" w:lineRule="auto"/>
        <w:rPr>
          <w:rFonts w:ascii="Arial" w:hAnsi="Arial" w:cs="Arial"/>
        </w:rPr>
      </w:pPr>
    </w:p>
    <w:p w14:paraId="21E3A626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280CB3" w14:paraId="6420DFF4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3569B7B4" w14:textId="6498DAA3" w:rsidR="00280CB3" w:rsidRPr="00F23A9D" w:rsidRDefault="00280CB3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4a. Naturstoffe - Kohlenhydrate</w:t>
            </w:r>
          </w:p>
        </w:tc>
        <w:tc>
          <w:tcPr>
            <w:tcW w:w="2942" w:type="dxa"/>
          </w:tcPr>
          <w:p w14:paraId="33B93B33" w14:textId="1DF195FE" w:rsidR="00280CB3" w:rsidRPr="00D71CFF" w:rsidRDefault="00280CB3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183BB1">
              <w:rPr>
                <w:rFonts w:ascii="Arial" w:hAnsi="Arial" w:cs="Arial"/>
                <w:b w:val="0"/>
              </w:rPr>
              <w:t>22</w:t>
            </w:r>
            <w:r w:rsidRPr="00F23A9D">
              <w:rPr>
                <w:rFonts w:ascii="Arial" w:hAnsi="Arial" w:cs="Arial"/>
                <w:b w:val="0"/>
              </w:rPr>
              <w:t>-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183BB1">
              <w:rPr>
                <w:rFonts w:ascii="Arial" w:hAnsi="Arial" w:cs="Arial"/>
                <w:b w:val="0"/>
              </w:rPr>
              <w:t>30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5C3C77F8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280CB3" w14:paraId="27005364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16D34741" w14:textId="77777777" w:rsidR="00280CB3" w:rsidRDefault="00280CB3" w:rsidP="00D02B6A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3A24" w14:textId="77777777" w:rsidR="00280CB3" w:rsidRDefault="00280CB3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280CB3" w14:paraId="3F8839D8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481D888F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einführen, Einsatz von Molekülbaukasten</w:t>
            </w:r>
          </w:p>
          <w:p w14:paraId="300CAD18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Fischer-Projektion zur Eindeutigen Darstellung der Enantiomere mit D/L-Nomenklatur einführen</w:t>
            </w:r>
          </w:p>
          <w:p w14:paraId="71592EB5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0561D06A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Kohlenhydrate</w:t>
            </w:r>
          </w:p>
          <w:p w14:paraId="14853353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Bezug zum Einstieg…Milchzucker, weitere Zucker im Alltag</w:t>
            </w:r>
          </w:p>
          <w:p w14:paraId="550EAF33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C379D9E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Thermolyse (z.B. von Glucose), Wasserlöslichkeit und</w:t>
            </w:r>
          </w:p>
          <w:p w14:paraId="6CA6751C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Benedict-Probe geben Aufschluss über den Aufbau bzw. die funktio-nellen Gruppen von Zuckern.</w:t>
            </w:r>
          </w:p>
          <w:p w14:paraId="48E7B4A6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7C0A1958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Fischer-Projektion von D-Glucose</w:t>
            </w:r>
          </w:p>
          <w:p w14:paraId="2A7B4B64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57081012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Ringschluss über negativen Nachweis mit Schiffs Reagenz herleiten.</w:t>
            </w:r>
          </w:p>
          <w:p w14:paraId="6B5D6D16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(Gleichgewichtsbetrachtungen)</w:t>
            </w:r>
          </w:p>
          <w:p w14:paraId="7A2ECA11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lastRenderedPageBreak/>
              <w:t>Halbacetalbildung am Bsp. D-Glucose</w:t>
            </w:r>
          </w:p>
          <w:p w14:paraId="700AEFB9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Einführung Haworth-Projektion, Umwandlung von Fischer- in Ha-worth-Projektion, anomeres C-Atom und α-Form, β-Form benennen.</w:t>
            </w:r>
          </w:p>
          <w:p w14:paraId="6E9B8EA8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60BCA603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Vergleichende Untersuchung von Fructose, Ketose dennoch  redu-zierende Eigenschaft -&gt; Endiol-Tautomerie, Anwendung Haworth-Projektion (Unterscheidungsmöglichkeit zu D-Glucose über GOD-Test)</w:t>
            </w:r>
          </w:p>
          <w:p w14:paraId="403998FB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 xml:space="preserve"> </w:t>
            </w:r>
          </w:p>
          <w:p w14:paraId="7CAEB17E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vom Monosaccharide zum Disaccharide</w:t>
            </w:r>
          </w:p>
          <w:p w14:paraId="54DC2695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Glycosidische Verknüpfung (Acetalbildung) als Kondensationsreakti-on von Hydroxylgruppen, Einfluss der Actalbildung auf die reduzie-rende Eigenschaft</w:t>
            </w:r>
          </w:p>
          <w:p w14:paraId="1CC10D0E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351E8D48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Cyclodextrine und Polysaccharide (Amylose, Amylopektin, Cellulo-se)  durch mehrfache Kondensationsreaktion</w:t>
            </w:r>
          </w:p>
          <w:p w14:paraId="701EC9A9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6AB2F044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6DB846AE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Strukturunterschiede (Bausteine, räumliche Anordnung, Art der Gly-cosidischen Verknüpfung)</w:t>
            </w:r>
          </w:p>
          <w:p w14:paraId="517C6337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Vorkommen, Verwendung (Energielieferant, Reservesubstanz, Gerüstsubstanz)</w:t>
            </w:r>
          </w:p>
          <w:p w14:paraId="2BF7254D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 xml:space="preserve">Hydrolyse von Polysacchariden </w:t>
            </w:r>
          </w:p>
          <w:p w14:paraId="435EB92A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3F250F5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2189289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Stärke und Cellulose als nachwachsende Rohstoffe</w:t>
            </w:r>
          </w:p>
          <w:p w14:paraId="150B5818" w14:textId="7A694916" w:rsidR="00280CB3" w:rsidRPr="00583476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</w:tc>
        <w:tc>
          <w:tcPr>
            <w:tcW w:w="6339" w:type="dxa"/>
            <w:tcBorders>
              <w:top w:val="nil"/>
            </w:tcBorders>
          </w:tcPr>
          <w:p w14:paraId="1B14F13E" w14:textId="77777777" w:rsidR="00280CB3" w:rsidRPr="008B3FF9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B3FF9">
              <w:rPr>
                <w:iCs/>
                <w:sz w:val="20"/>
              </w:rPr>
              <w:lastRenderedPageBreak/>
              <w:t>Einstieg über die Inhaltsstoffe eines Joghurts (rechtsdrehende L(+)-Milchsäure, Milchzucker, Fett, Milcheiweiß</w:t>
            </w:r>
          </w:p>
          <w:p w14:paraId="0D77A5AD" w14:textId="77777777" w:rsidR="00280CB3" w:rsidRPr="008B3FF9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2"/>
              </w:rPr>
            </w:pPr>
          </w:p>
          <w:p w14:paraId="421BA2A2" w14:textId="77777777" w:rsidR="00280CB3" w:rsidRPr="008B3FF9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B3FF9">
              <w:rPr>
                <w:iCs/>
                <w:sz w:val="20"/>
              </w:rPr>
              <w:t>Alltagsbeispiele für Chiralität (Hände, Schneckenhäuser, Ringelschwanz Ferkel…</w:t>
            </w:r>
          </w:p>
          <w:p w14:paraId="393AF0F3" w14:textId="77777777" w:rsidR="00280CB3" w:rsidRPr="00A35B3C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4472C4" w:themeColor="accent1"/>
                <w:sz w:val="20"/>
              </w:rPr>
            </w:pPr>
          </w:p>
          <w:p w14:paraId="253A7AC9" w14:textId="77777777" w:rsidR="00280CB3" w:rsidRPr="008B3FF9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B3FF9">
              <w:rPr>
                <w:iCs/>
                <w:sz w:val="20"/>
              </w:rPr>
              <w:t>Am Beispiel Contergan kann die Bedeutung</w:t>
            </w:r>
            <w:r>
              <w:rPr>
                <w:iCs/>
                <w:sz w:val="20"/>
              </w:rPr>
              <w:t xml:space="preserve"> der räumlichen Anordnung  verdeutlicht werden.</w:t>
            </w:r>
          </w:p>
          <w:p w14:paraId="4F85490F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</w:p>
          <w:p w14:paraId="4750AEB3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Aktivierung von vorhandenem Wissen (Präkonzepte) u.a. aus NwT (Nährstoff-Nachweise) und Biologie (Photosynthese, Nährstoffe)</w:t>
            </w:r>
          </w:p>
          <w:p w14:paraId="7D4AD23B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A700D08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Zersetzten beim Schmelzen, Wassernachweis,</w:t>
            </w:r>
          </w:p>
          <w:p w14:paraId="77B0BF73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Aldehydnachweis</w:t>
            </w:r>
          </w:p>
          <w:p w14:paraId="52AD8CEC" w14:textId="77777777" w:rsidR="00280CB3" w:rsidRPr="00A35B3C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(Alternativ können je nach Vorwissen bereits verschiedene Zucker untersucht werden)</w:t>
            </w:r>
          </w:p>
          <w:p w14:paraId="6704142C" w14:textId="3D173D29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Einsatz von Molekülbaukästen, </w:t>
            </w:r>
            <w:r w:rsidR="00002F7B">
              <w:rPr>
                <w:iCs/>
                <w:sz w:val="20"/>
              </w:rPr>
              <w:t>webbasierte Molekülbetrachtung</w:t>
            </w:r>
          </w:p>
          <w:p w14:paraId="2286BF0B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65BC16B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Nachweis mit Schiffs-Reagenz problematisch aufgrund vorhandenem Para-Fuchsins</w:t>
            </w:r>
          </w:p>
          <w:p w14:paraId="2917F718" w14:textId="382F6168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br/>
            </w:r>
            <w:r w:rsidR="00002F7B">
              <w:rPr>
                <w:iCs/>
                <w:sz w:val="20"/>
              </w:rPr>
              <w:t>webbasierte Molekülbetrachtung</w:t>
            </w:r>
          </w:p>
          <w:p w14:paraId="176F29AA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Benennung </w:t>
            </w:r>
            <w:r w:rsidRPr="006E19F3">
              <w:rPr>
                <w:iCs/>
                <w:color w:val="231F20"/>
                <w:sz w:val="20"/>
              </w:rPr>
              <w:t>α</w:t>
            </w:r>
            <w:r>
              <w:rPr>
                <w:iCs/>
                <w:color w:val="231F20"/>
                <w:sz w:val="20"/>
              </w:rPr>
              <w:t>-D-Glucopyranose</w:t>
            </w:r>
          </w:p>
          <w:p w14:paraId="1E9E1F59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32562D6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Furanose- und Pyranoseform</w:t>
            </w:r>
          </w:p>
          <w:p w14:paraId="3C4D8CDA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Resorcin-Probe nach Seliwanow </w:t>
            </w:r>
          </w:p>
          <w:p w14:paraId="06214A43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62A8F42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69C6A32D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046EEB24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Schülerpraktikum-Identifikation von Zuckerproben (Glucose, Fructose, Saccharose, Maltose, Amylose) mittels GOD-Test, Seliwanow-, Benedict-Probe und Lugolscher-Lösung</w:t>
            </w:r>
          </w:p>
          <w:p w14:paraId="2E3F65DF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(Erweiterungsmöglichkeit um Lactose und Untersuchung des Gärvermögens mit Trockenhefe)</w:t>
            </w:r>
          </w:p>
          <w:p w14:paraId="5133F2C7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50F5A32B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Glycogen</w:t>
            </w:r>
          </w:p>
          <w:p w14:paraId="7A819184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Zuordnungsübung mittels</w:t>
            </w:r>
          </w:p>
          <w:p w14:paraId="57B8808B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Molekülmodelle und Visualisierung am PC/Tablet (Jsmol/Jmol, Chemsketch, PDB-Moleküldatenbanken im Internet)</w:t>
            </w:r>
          </w:p>
          <w:p w14:paraId="5C283D9E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Cyclodextrin-Experimente (siehe Wacker-Koffer, z.B. Maskierung von Phenolphthalein)</w:t>
            </w:r>
          </w:p>
          <w:p w14:paraId="0ED0D089" w14:textId="77777777" w:rsidR="00280CB3" w:rsidRPr="009868E7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Hydrolyse von Polysacchariden (u.a. mit Amylase aus Speichel, Invertzucker, Osmotische Wirksamkeit)</w:t>
            </w:r>
          </w:p>
          <w:p w14:paraId="7BDCCE17" w14:textId="77777777" w:rsidR="00280CB3" w:rsidRPr="009868E7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</w:p>
          <w:p w14:paraId="60DB3CA4" w14:textId="77777777" w:rsidR="00280CB3" w:rsidRPr="009868E7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Energiepflanzen versus Nahrungsmittelproduktion, (Bioethanol, Ökoeffizienzanalyse, Stärkefolie vgl. Kunststoffe)</w:t>
            </w:r>
          </w:p>
          <w:p w14:paraId="55B25C2F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6875389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Exkurs: optische Aktivität und Polarimetrie</w:t>
            </w:r>
          </w:p>
          <w:p w14:paraId="009C8E28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Exkurs: Industrielle Zuckergewinnung mit Exkursion zu einer Zuckerfabrik </w:t>
            </w:r>
          </w:p>
          <w:p w14:paraId="110650C7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(GFS: Stevia, u.a.Süßungsmittel,/Zuckeraustauschstoffe)</w:t>
            </w:r>
          </w:p>
          <w:p w14:paraId="3A559745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BEB9334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Nährstoffnachweis in Baby-</w:t>
            </w:r>
            <w:r w:rsidRPr="00C111FC">
              <w:rPr>
                <w:rFonts w:asciiTheme="minorHAnsi" w:hAnsiTheme="minorHAnsi" w:cstheme="minorHAnsi"/>
                <w:iCs/>
                <w:sz w:val="20"/>
              </w:rPr>
              <w:t>Milchpulver</w:t>
            </w:r>
            <w:r>
              <w:rPr>
                <w:iCs/>
                <w:sz w:val="20"/>
              </w:rPr>
              <w:t xml:space="preserve"> (Unterschiede PRE und Folgemilch)</w:t>
            </w:r>
          </w:p>
          <w:p w14:paraId="277B17B8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849C1EA" w14:textId="77777777" w:rsidR="00280CB3" w:rsidRPr="00EB4306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2"/>
              </w:rPr>
            </w:pPr>
            <w:r>
              <w:rPr>
                <w:iCs/>
                <w:sz w:val="20"/>
              </w:rPr>
              <w:t>Exkurs: Enzymatik Praktikum</w:t>
            </w:r>
            <w:r>
              <w:rPr>
                <w:iCs/>
                <w:sz w:val="20"/>
              </w:rPr>
              <w:br/>
              <w:t>(</w:t>
            </w:r>
            <w:r w:rsidRPr="00FE4955">
              <w:rPr>
                <w:iCs/>
                <w:sz w:val="20"/>
              </w:rPr>
              <w:t xml:space="preserve">Substratspezifität </w:t>
            </w:r>
            <w:r>
              <w:rPr>
                <w:iCs/>
                <w:sz w:val="20"/>
              </w:rPr>
              <w:t>am Bsp.</w:t>
            </w:r>
            <w:r w:rsidRPr="00FE4955">
              <w:rPr>
                <w:iCs/>
                <w:sz w:val="20"/>
              </w:rPr>
              <w:t xml:space="preserve"> Urease</w:t>
            </w:r>
            <w:r>
              <w:rPr>
                <w:iCs/>
                <w:sz w:val="20"/>
              </w:rPr>
              <w:t>, pH-Abhängigkeit am Bsp. Katalase, Temperaturabhängigkeit am Bsp. Hefe alkoholische Gärung)</w:t>
            </w:r>
          </w:p>
          <w:p w14:paraId="00A10035" w14:textId="77777777" w:rsidR="00280CB3" w:rsidRPr="00546AB6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t>Messwerterfassung</w:t>
            </w:r>
          </w:p>
          <w:p w14:paraId="3B91AEB2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br/>
            </w:r>
            <w:r>
              <w:rPr>
                <w:iCs/>
                <w:sz w:val="20"/>
              </w:rPr>
              <w:t>Exkurs: Protein-Biosynthese (Translation und Transkription)</w:t>
            </w:r>
          </w:p>
          <w:p w14:paraId="5EE7BA68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AE7019E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BF19FB2" w14:textId="77777777" w:rsidR="00280CB3" w:rsidRPr="00583476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</w:tbl>
    <w:p w14:paraId="681FE690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p w14:paraId="5D11EDFF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280CB3" w14:paraId="32A54816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13E42D4D" w14:textId="7DC7764F" w:rsidR="00280CB3" w:rsidRPr="00F23A9D" w:rsidRDefault="00280CB3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4b. Naturstoffe - Fette</w:t>
            </w:r>
          </w:p>
        </w:tc>
        <w:tc>
          <w:tcPr>
            <w:tcW w:w="2942" w:type="dxa"/>
          </w:tcPr>
          <w:p w14:paraId="33AA9866" w14:textId="1FBBF4DB" w:rsidR="00280CB3" w:rsidRPr="00D71CFF" w:rsidRDefault="00280CB3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>(ca</w:t>
            </w:r>
            <w:r w:rsidR="00183BB1">
              <w:rPr>
                <w:rFonts w:ascii="Arial" w:hAnsi="Arial" w:cs="Arial"/>
                <w:b w:val="0"/>
              </w:rPr>
              <w:t>.14</w:t>
            </w:r>
            <w:r w:rsidRPr="00F23A9D">
              <w:rPr>
                <w:rFonts w:ascii="Arial" w:hAnsi="Arial" w:cs="Arial"/>
                <w:b w:val="0"/>
              </w:rPr>
              <w:t xml:space="preserve"> -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183BB1">
              <w:rPr>
                <w:rFonts w:ascii="Arial" w:hAnsi="Arial" w:cs="Arial"/>
                <w:b w:val="0"/>
              </w:rPr>
              <w:t>2</w:t>
            </w:r>
            <w:r>
              <w:rPr>
                <w:rFonts w:ascii="Arial" w:hAnsi="Arial" w:cs="Arial"/>
                <w:b w:val="0"/>
              </w:rPr>
              <w:t>2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09CB5554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280CB3" w14:paraId="48527D09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5895291E" w14:textId="77777777" w:rsidR="00280CB3" w:rsidRDefault="00280CB3" w:rsidP="00D02B6A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7472D" w14:textId="77777777" w:rsidR="00280CB3" w:rsidRDefault="00280CB3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280CB3" w14:paraId="26291808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2ED7F112" w14:textId="49AE46A9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Fette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280CB3">
              <w:rPr>
                <w:b w:val="0"/>
                <w:bCs w:val="0"/>
                <w:sz w:val="20"/>
              </w:rPr>
              <w:t>als weitere Reservesubstanz:</w:t>
            </w:r>
          </w:p>
          <w:p w14:paraId="2D4819DE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Fett/Öl versuchen zu entzünden, Fett-Kerze mittels Docht,</w:t>
            </w:r>
          </w:p>
          <w:p w14:paraId="42151F12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Fettbrand mit Wasser löschen. (Ranziges Fett reagiert sauer)</w:t>
            </w:r>
          </w:p>
          <w:p w14:paraId="3F55C753" w14:textId="19327298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 xml:space="preserve">Schlussfolgerungen: hydrophober Stoff, Unterschiede bzgl. Wechselwirkungen (flüssige und feste Fett), große Moleküle, beim  Zer-fall entstehen Säuren, </w:t>
            </w:r>
          </w:p>
          <w:p w14:paraId="58CC8BC6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Fette als Ester aus Glycerin und Fettsäuren</w:t>
            </w:r>
          </w:p>
          <w:p w14:paraId="3A1B15DA" w14:textId="77777777" w:rsidR="00280CB3" w:rsidRPr="00280CB3" w:rsidRDefault="00280CB3" w:rsidP="00280CB3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48C77107" w14:textId="06420BA0" w:rsidR="00280CB3" w:rsidRPr="00583476" w:rsidRDefault="00280CB3" w:rsidP="00D02B6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Vergleich  Pflanzlicher Öle und tierischer Fette – gesättigte und ungesättigte Fettsäuren, Untersuchung mittels Additonsreaktion</w:t>
            </w:r>
          </w:p>
        </w:tc>
        <w:tc>
          <w:tcPr>
            <w:tcW w:w="6339" w:type="dxa"/>
            <w:tcBorders>
              <w:top w:val="nil"/>
            </w:tcBorders>
          </w:tcPr>
          <w:p w14:paraId="5126A69D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30"/>
              </w:rPr>
            </w:pPr>
            <w:r>
              <w:rPr>
                <w:iCs/>
                <w:sz w:val="20"/>
                <w:szCs w:val="30"/>
              </w:rPr>
              <w:t>Anknüpfung an Joghurteinstieg möglich bzw. als weiterer Energieträger neben Kohlehydrate</w:t>
            </w:r>
          </w:p>
          <w:p w14:paraId="52D2BB16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30"/>
              </w:rPr>
            </w:pPr>
          </w:p>
          <w:p w14:paraId="796023F7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  <w:szCs w:val="30"/>
              </w:rPr>
            </w:pPr>
            <w:r>
              <w:rPr>
                <w:iCs/>
                <w:sz w:val="20"/>
                <w:szCs w:val="30"/>
              </w:rPr>
              <w:t>Öl, Fettkerze, Fettbrand-Löschversuch mit Wasser</w:t>
            </w:r>
          </w:p>
          <w:p w14:paraId="7850A6EC" w14:textId="1E91A1F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Fettfleckprobe, </w:t>
            </w:r>
            <w:r w:rsidR="00F45F52" w:rsidRPr="00F45F52">
              <w:rPr>
                <w:iCs/>
                <w:sz w:val="20"/>
              </w:rPr>
              <w:t>Lernbox</w:t>
            </w:r>
          </w:p>
          <w:p w14:paraId="4920B707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833D401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Molekülmodelle und Visualisierung am PC/Tablet (Jsmol)</w:t>
            </w:r>
          </w:p>
          <w:p w14:paraId="1758DF31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7771073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Iodzahl-Bestimmung mittels Bromierung, Experiment mit Betaisadona</w:t>
            </w:r>
          </w:p>
          <w:p w14:paraId="3DBEE7B7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Mehrfachungesättigte Säuren, essenzielle Fettsäuren, „Omega“-Fettsäuren (Nomenklatur), gehärtete Fette</w:t>
            </w:r>
          </w:p>
          <w:p w14:paraId="5FCC2C73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70C0"/>
                <w:sz w:val="20"/>
              </w:rPr>
            </w:pPr>
          </w:p>
          <w:p w14:paraId="36D210DE" w14:textId="77777777" w:rsidR="00280CB3" w:rsidRDefault="00280CB3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285751">
              <w:rPr>
                <w:iCs/>
                <w:sz w:val="20"/>
              </w:rPr>
              <w:t>Exkurs Verseifung</w:t>
            </w:r>
            <w:r>
              <w:rPr>
                <w:iCs/>
                <w:sz w:val="20"/>
              </w:rPr>
              <w:t xml:space="preserve"> (Experiment: Verseifung im Schnappdeckelglas)</w:t>
            </w:r>
          </w:p>
          <w:p w14:paraId="5E9C1D9E" w14:textId="354CFFFE" w:rsidR="00280CB3" w:rsidRPr="00583476" w:rsidRDefault="00280CB3" w:rsidP="00D02B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(GFS Margarine) </w:t>
            </w:r>
            <w:r w:rsidR="00256306">
              <w:rPr>
                <w:iCs/>
                <w:sz w:val="20"/>
              </w:rPr>
              <w:t>(GFS Tenside)</w:t>
            </w:r>
          </w:p>
        </w:tc>
      </w:tr>
    </w:tbl>
    <w:p w14:paraId="118BB863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p w14:paraId="0183CDC4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280CB3" w14:paraId="5107F7A0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38798BE8" w14:textId="64093D7F" w:rsidR="00280CB3" w:rsidRPr="00F23A9D" w:rsidRDefault="00280CB3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4c. Naturstoffe - Proteine</w:t>
            </w:r>
          </w:p>
        </w:tc>
        <w:tc>
          <w:tcPr>
            <w:tcW w:w="2942" w:type="dxa"/>
          </w:tcPr>
          <w:p w14:paraId="29F9037F" w14:textId="075D6419" w:rsidR="00280CB3" w:rsidRPr="00D71CFF" w:rsidRDefault="00280CB3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183BB1">
              <w:rPr>
                <w:rFonts w:ascii="Arial" w:hAnsi="Arial" w:cs="Arial"/>
                <w:b w:val="0"/>
              </w:rPr>
              <w:t>16</w:t>
            </w:r>
            <w:r w:rsidRPr="00F23A9D">
              <w:rPr>
                <w:rFonts w:ascii="Arial" w:hAnsi="Arial" w:cs="Arial"/>
                <w:b w:val="0"/>
              </w:rPr>
              <w:t>-</w:t>
            </w:r>
            <w:r w:rsidR="00183BB1">
              <w:rPr>
                <w:rFonts w:ascii="Arial" w:hAnsi="Arial" w:cs="Arial"/>
                <w:b w:val="0"/>
              </w:rPr>
              <w:t>24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39B3A2D2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280CB3" w14:paraId="11F40429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3B7A2922" w14:textId="77777777" w:rsidR="00280CB3" w:rsidRDefault="00280CB3" w:rsidP="00D02B6A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8C4D5" w14:textId="77777777" w:rsidR="00280CB3" w:rsidRPr="009371DA" w:rsidRDefault="00280CB3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371DA">
              <w:rPr>
                <w:rFonts w:ascii="Arial" w:hAnsi="Arial" w:cs="Arial"/>
                <w:b w:val="0"/>
                <w:bCs w:val="0"/>
              </w:rPr>
              <w:t>Hinweise/Ideen zur konkreten Umsetzung</w:t>
            </w:r>
          </w:p>
        </w:tc>
      </w:tr>
      <w:tr w:rsidR="00280CB3" w14:paraId="484D5B91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5AB9B28A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Qualitative Untersuchung von Alanin bzw. Glycin (Schmelzversuch, Pyrolyse, Löslichkeit in Wasser, Zugabe von Säure bzw. Base, elektrische Leitfähigkeit der Lösung)</w:t>
            </w:r>
          </w:p>
          <w:p w14:paraId="21034B60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Schlussfolgerungen: starke Zwischenmolekulare Wechselwirkungen, Stickstoffhaltige Verbindung, fungiert als Säure-Base-Puffer, Moleküle insgesamt nicht geladen, polares Molekül</w:t>
            </w:r>
          </w:p>
          <w:p w14:paraId="166F634A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</w:p>
          <w:p w14:paraId="4A40D750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Alanin als L-α-Aminosäuren (AS) (Amino- und Carboxyl-Gruppe)</w:t>
            </w:r>
          </w:p>
          <w:p w14:paraId="3490F234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Allgemeine Formel von L-α-Aminosäuren und weitere Beispiele, Zwitter-Ionen-Struktur</w:t>
            </w:r>
          </w:p>
          <w:p w14:paraId="37A87C13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</w:p>
          <w:p w14:paraId="55ACADCE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Ninhydrin als Nachweisreagenz und DC eines Gemischs aus AS</w:t>
            </w:r>
          </w:p>
          <w:p w14:paraId="5C94ADEC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</w:p>
          <w:p w14:paraId="4EE11AC3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lastRenderedPageBreak/>
              <w:t>Verknüpfung der AS-Bausteine zu Di-, Tri- Oligo-, Polypeptiden Peptid-Gruppe, Kondensationsreaktion, Proteinbegriff</w:t>
            </w:r>
          </w:p>
          <w:p w14:paraId="2CCC977D" w14:textId="77777777" w:rsidR="00280CB3" w:rsidRPr="00280CB3" w:rsidRDefault="00280CB3" w:rsidP="00280CB3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</w:p>
          <w:p w14:paraId="3FDC586C" w14:textId="77777777" w:rsidR="00280CB3" w:rsidRPr="00280CB3" w:rsidRDefault="00280CB3" w:rsidP="00280CB3">
            <w:pPr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 xml:space="preserve">Struktur der Proteine </w:t>
            </w:r>
            <w:r w:rsidRPr="00280CB3">
              <w:rPr>
                <w:b w:val="0"/>
                <w:bCs w:val="0"/>
                <w:sz w:val="20"/>
              </w:rPr>
              <w:br/>
              <w:t>Aminosäuresequenz, Benennung,  N-terminales bzw. C-terminales Ende, Primärstruktur</w:t>
            </w:r>
            <w:r w:rsidRPr="00280CB3">
              <w:rPr>
                <w:b w:val="0"/>
                <w:bCs w:val="0"/>
                <w:sz w:val="20"/>
              </w:rPr>
              <w:br/>
              <w:t>α-Helix, β-Faltblatt  als Beispiel der Sekundärstruktur</w:t>
            </w:r>
          </w:p>
          <w:p w14:paraId="0339020D" w14:textId="77777777" w:rsidR="00280CB3" w:rsidRPr="00280CB3" w:rsidRDefault="00280CB3" w:rsidP="00280CB3">
            <w:pPr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Tertiärstruktur auf der Basis der Wechselwirkung zwischen den AS-Resten u.a. Disulfid-Brücken (Cystin)</w:t>
            </w:r>
          </w:p>
          <w:p w14:paraId="3D1065E5" w14:textId="77777777" w:rsidR="00280CB3" w:rsidRPr="00280CB3" w:rsidRDefault="00280CB3" w:rsidP="00280CB3">
            <w:pPr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 xml:space="preserve">Quartär-Struktur bei der Zusammenlagerung von Peptiden zu einer funktionalen Einheit (Protein) </w:t>
            </w:r>
            <w:r w:rsidRPr="00280CB3">
              <w:rPr>
                <w:b w:val="0"/>
                <w:bCs w:val="0"/>
                <w:sz w:val="20"/>
              </w:rPr>
              <w:br/>
            </w:r>
          </w:p>
          <w:p w14:paraId="3921CC60" w14:textId="77777777" w:rsidR="00280CB3" w:rsidRPr="00280CB3" w:rsidRDefault="00280CB3" w:rsidP="00280CB3">
            <w:pPr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Nachweise von und Denaturierung der Proteine (Praktikum)</w:t>
            </w:r>
          </w:p>
          <w:p w14:paraId="60AA429C" w14:textId="77777777" w:rsidR="00280CB3" w:rsidRPr="00280CB3" w:rsidRDefault="00280CB3" w:rsidP="00280CB3">
            <w:pPr>
              <w:rPr>
                <w:b w:val="0"/>
                <w:bCs w:val="0"/>
                <w:i/>
                <w:iCs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(Veränderung der Räumlichen Struktur bis hin zur Hydrolyse)</w:t>
            </w:r>
          </w:p>
          <w:p w14:paraId="7ECA3C4D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0"/>
              </w:rPr>
            </w:pPr>
          </w:p>
          <w:p w14:paraId="2F7849D0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0"/>
              </w:rPr>
            </w:pPr>
          </w:p>
          <w:p w14:paraId="34B48382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0C25EEFE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264E34CE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214C94F6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11FB57D8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7265AEF7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41F62E18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1C532C02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3DCC01AC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5668FF1F" w14:textId="77777777" w:rsidR="00280CB3" w:rsidRPr="00280CB3" w:rsidRDefault="00280CB3" w:rsidP="00280CB3">
            <w:pPr>
              <w:rPr>
                <w:b w:val="0"/>
                <w:bCs w:val="0"/>
                <w:color w:val="231F20"/>
                <w:sz w:val="22"/>
              </w:rPr>
            </w:pPr>
          </w:p>
          <w:p w14:paraId="1FA51035" w14:textId="420DCAC6" w:rsidR="00280CB3" w:rsidRPr="00280CB3" w:rsidRDefault="00280CB3" w:rsidP="006B35F8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280CB3">
              <w:rPr>
                <w:b w:val="0"/>
                <w:bCs w:val="0"/>
                <w:sz w:val="20"/>
              </w:rPr>
              <w:t>Enzyme-Begriff (Biokatalysator, Schlüssel-Schloss-Prinzip)</w:t>
            </w:r>
          </w:p>
        </w:tc>
        <w:tc>
          <w:tcPr>
            <w:tcW w:w="6339" w:type="dxa"/>
            <w:tcBorders>
              <w:top w:val="nil"/>
            </w:tcBorders>
          </w:tcPr>
          <w:p w14:paraId="3E3D4590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Bezug zum Einstieg „Joghurt“ möglich</w:t>
            </w:r>
          </w:p>
          <w:p w14:paraId="4FA28226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2867C7AB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Untersuchung eines weißen Feststoffes im Praktikum (Alanin bzw. Glycin)</w:t>
            </w:r>
          </w:p>
          <w:p w14:paraId="3063B91F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7CC1B778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2EA8754D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0FA8C472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885091A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02BB136D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DE4DC11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2FDB5D1C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0D8FB8FE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DB89621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Saure, alkalische und neutrale AS – Praktikum drei AS sollen identifiziert werden (Glutaminsäure, Lysin, Alanin)</w:t>
            </w:r>
          </w:p>
          <w:p w14:paraId="0D645020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(Isoelektrischer Punkt?)</w:t>
            </w:r>
          </w:p>
          <w:p w14:paraId="5C6290D3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4C5AC724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DC eines AS-Gemischs mit Vergleichssubstanzen anschl. Sichtbarmachen des Chromatogramms mit Ninhydrin-Sprühreagenz (auch einsetzbar als Mittel zum Sichtbarmachen von latenten Fingerabdrücken in der Forensik)</w:t>
            </w:r>
          </w:p>
          <w:p w14:paraId="51969DC6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1A2F8BC6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46AB6">
              <w:rPr>
                <w:sz w:val="20"/>
              </w:rPr>
              <w:t xml:space="preserve">Visualisierung </w:t>
            </w:r>
            <w:r>
              <w:rPr>
                <w:sz w:val="20"/>
              </w:rPr>
              <w:t>der</w:t>
            </w:r>
            <w:r w:rsidRPr="00546AB6">
              <w:rPr>
                <w:sz w:val="20"/>
              </w:rPr>
              <w:t xml:space="preserve"> Proteinarchi</w:t>
            </w:r>
            <w:r>
              <w:rPr>
                <w:sz w:val="20"/>
              </w:rPr>
              <w:t>tektur (z.B. α-Helix, β-Faltblatt) mittels Molekülbetrachtungsprogrammen und pdb-Dateien</w:t>
            </w:r>
          </w:p>
          <w:p w14:paraId="2D11F26A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Bsp zur Visualisierung: ADH, </w:t>
            </w:r>
            <w:r w:rsidRPr="00D40D76">
              <w:rPr>
                <w:sz w:val="20"/>
              </w:rPr>
              <w:t>Bradykinin</w:t>
            </w:r>
            <w:r>
              <w:rPr>
                <w:sz w:val="20"/>
              </w:rPr>
              <w:t>, Oxytocin, Glucagon, Insulin, Hämoglobin, Myoglobin, Aktin, Myosin,Titin, Kollagen</w:t>
            </w:r>
          </w:p>
          <w:p w14:paraId="248D8AED" w14:textId="77777777" w:rsidR="006B35F8" w:rsidRPr="00FE4955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FE4955">
              <w:rPr>
                <w:iCs/>
                <w:sz w:val="20"/>
              </w:rPr>
              <w:t>(Unterteilung von Proteinen nach deren Funktion)</w:t>
            </w:r>
          </w:p>
          <w:p w14:paraId="65176556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t>Proteine in der Küche (z.</w:t>
            </w:r>
            <w:r>
              <w:rPr>
                <w:iCs/>
                <w:sz w:val="20"/>
              </w:rPr>
              <w:t> </w:t>
            </w:r>
            <w:r w:rsidRPr="00546AB6">
              <w:rPr>
                <w:iCs/>
                <w:sz w:val="20"/>
              </w:rPr>
              <w:t xml:space="preserve">B. </w:t>
            </w:r>
            <w:r>
              <w:rPr>
                <w:iCs/>
                <w:sz w:val="20"/>
              </w:rPr>
              <w:t xml:space="preserve">Eischaum &amp; Baiser, </w:t>
            </w:r>
            <w:r w:rsidRPr="00546AB6">
              <w:rPr>
                <w:iCs/>
                <w:sz w:val="20"/>
              </w:rPr>
              <w:t>Gelatine</w:t>
            </w:r>
            <w:r>
              <w:rPr>
                <w:iCs/>
                <w:sz w:val="20"/>
              </w:rPr>
              <w:t xml:space="preserve">, </w:t>
            </w:r>
            <w:r w:rsidRPr="00546AB6">
              <w:rPr>
                <w:iCs/>
                <w:sz w:val="20"/>
              </w:rPr>
              <w:t xml:space="preserve">) </w:t>
            </w:r>
          </w:p>
          <w:p w14:paraId="4D9779C5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t>Proteine beim Friseur</w:t>
            </w:r>
            <w:r>
              <w:rPr>
                <w:iCs/>
                <w:sz w:val="20"/>
              </w:rPr>
              <w:t xml:space="preserve"> (Dauerwelle)</w:t>
            </w:r>
          </w:p>
          <w:p w14:paraId="47275920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</w:rPr>
            </w:pPr>
          </w:p>
          <w:p w14:paraId="2CFB0FDA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Biuret-Reaktion (Xanthoprotein-Reaktion),</w:t>
            </w:r>
          </w:p>
          <w:p w14:paraId="369BF064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Denaturierung mittels Wärmezufuhr, Säure bzw. Basen-Zugabe, Zugabe von Schwermetallsalzen (Mechanische Denaturierung) </w:t>
            </w:r>
          </w:p>
          <w:p w14:paraId="17621023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Mögliche Proben: Eiweißlösung, Milchprodukte,(Federn/Daunen)</w:t>
            </w:r>
            <w:r>
              <w:rPr>
                <w:iCs/>
                <w:sz w:val="20"/>
              </w:rPr>
              <w:br/>
              <w:t>Vergleich Schurrwoll-, Baumwollfaden</w:t>
            </w:r>
          </w:p>
          <w:p w14:paraId="2811C018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C032718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Nährstoffnachweis in Baby-</w:t>
            </w:r>
            <w:r w:rsidRPr="00C111FC">
              <w:rPr>
                <w:rFonts w:asciiTheme="minorHAnsi" w:hAnsiTheme="minorHAnsi" w:cstheme="minorHAnsi"/>
                <w:iCs/>
                <w:sz w:val="20"/>
              </w:rPr>
              <w:t>Milchpulver</w:t>
            </w:r>
            <w:r>
              <w:rPr>
                <w:iCs/>
                <w:sz w:val="20"/>
              </w:rPr>
              <w:t xml:space="preserve"> (Unterschiede PRE und Folgemilch)</w:t>
            </w:r>
          </w:p>
          <w:p w14:paraId="2FFF9D69" w14:textId="77777777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C4688E0" w14:textId="77777777" w:rsidR="006B35F8" w:rsidRPr="00EB430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2"/>
              </w:rPr>
            </w:pPr>
            <w:r>
              <w:rPr>
                <w:iCs/>
                <w:sz w:val="20"/>
              </w:rPr>
              <w:t>Exkurs: Enzymatik Praktikum</w:t>
            </w:r>
            <w:r>
              <w:rPr>
                <w:iCs/>
                <w:sz w:val="20"/>
              </w:rPr>
              <w:br/>
              <w:t>(</w:t>
            </w:r>
            <w:r w:rsidRPr="00FE4955">
              <w:rPr>
                <w:iCs/>
                <w:sz w:val="20"/>
              </w:rPr>
              <w:t xml:space="preserve">Substratspezifität </w:t>
            </w:r>
            <w:r>
              <w:rPr>
                <w:iCs/>
                <w:sz w:val="20"/>
              </w:rPr>
              <w:t>am Bsp.</w:t>
            </w:r>
            <w:r w:rsidRPr="00FE4955">
              <w:rPr>
                <w:iCs/>
                <w:sz w:val="20"/>
              </w:rPr>
              <w:t xml:space="preserve"> Urease</w:t>
            </w:r>
            <w:r>
              <w:rPr>
                <w:iCs/>
                <w:sz w:val="20"/>
              </w:rPr>
              <w:t>, pH-Abhängigkeit am Bsp. Katalase, Temperaturabhängigkeit am Bsp. Hefe alkoholische Gärung)</w:t>
            </w:r>
          </w:p>
          <w:p w14:paraId="38FE015F" w14:textId="77777777" w:rsidR="006B35F8" w:rsidRPr="00546AB6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t>Messwerterfassung</w:t>
            </w:r>
          </w:p>
          <w:p w14:paraId="29CA1326" w14:textId="683B6B2D" w:rsidR="00280CB3" w:rsidRPr="00583476" w:rsidRDefault="006B35F8" w:rsidP="00280C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546AB6">
              <w:rPr>
                <w:iCs/>
                <w:sz w:val="20"/>
              </w:rPr>
              <w:br/>
            </w:r>
            <w:r>
              <w:rPr>
                <w:iCs/>
                <w:sz w:val="20"/>
              </w:rPr>
              <w:t>Exkurs: Protein-Biosynthese (Translation und Transkription)</w:t>
            </w:r>
          </w:p>
        </w:tc>
      </w:tr>
    </w:tbl>
    <w:p w14:paraId="5ABE9D72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p w14:paraId="22A0703F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280CB3" w14:paraId="25F8045F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7FFEE538" w14:textId="79FF332E" w:rsidR="00280CB3" w:rsidRPr="00F23A9D" w:rsidRDefault="006B35F8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5. Aromaten</w:t>
            </w:r>
          </w:p>
        </w:tc>
        <w:tc>
          <w:tcPr>
            <w:tcW w:w="2942" w:type="dxa"/>
          </w:tcPr>
          <w:p w14:paraId="70AC885B" w14:textId="714BC185" w:rsidR="00280CB3" w:rsidRPr="00D71CFF" w:rsidRDefault="00280CB3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183BB1">
              <w:rPr>
                <w:rFonts w:ascii="Arial" w:hAnsi="Arial" w:cs="Arial"/>
                <w:b w:val="0"/>
              </w:rPr>
              <w:t>10</w:t>
            </w:r>
            <w:r w:rsidR="006B35F8">
              <w:rPr>
                <w:rFonts w:ascii="Arial" w:hAnsi="Arial" w:cs="Arial"/>
                <w:b w:val="0"/>
              </w:rPr>
              <w:t>-1</w:t>
            </w:r>
            <w:r w:rsidR="00183BB1">
              <w:rPr>
                <w:rFonts w:ascii="Arial" w:hAnsi="Arial" w:cs="Arial"/>
                <w:b w:val="0"/>
              </w:rPr>
              <w:t>4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36CC66FC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280CB3" w14:paraId="5FBC5FA7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5A97AD68" w14:textId="77777777" w:rsidR="00280CB3" w:rsidRDefault="00280CB3" w:rsidP="00D02B6A">
            <w:pPr>
              <w:spacing w:line="276" w:lineRule="auto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46326" w14:textId="77777777" w:rsidR="00280CB3" w:rsidRDefault="00280CB3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83476">
              <w:rPr>
                <w:rFonts w:ascii="Arial" w:hAnsi="Arial" w:cs="Arial"/>
              </w:rPr>
              <w:t>Hinweise/Ideen zur konkreten Umsetzung</w:t>
            </w:r>
          </w:p>
        </w:tc>
      </w:tr>
      <w:tr w:rsidR="00280CB3" w14:paraId="4243E737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00A4396B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Erforschung des Benzols</w:t>
            </w:r>
          </w:p>
          <w:p w14:paraId="373B5E17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Historie der Aromaten, Eigenschaften, Vorkommen und Verwendung von Benzol, Molekülstruktur und Bindungsverhältnisse</w:t>
            </w:r>
          </w:p>
          <w:p w14:paraId="7B95763D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Kekulé und die Benzolformel</w:t>
            </w:r>
          </w:p>
          <w:p w14:paraId="2FE5FE51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Bindungsverhältnisse im Benzolmolekül</w:t>
            </w:r>
          </w:p>
          <w:p w14:paraId="255A4284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2B69AAC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Gesundheitsproblematik,</w:t>
            </w:r>
          </w:p>
          <w:p w14:paraId="02586E5D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lastRenderedPageBreak/>
              <w:t>Gefahrstoffverordnungen</w:t>
            </w:r>
          </w:p>
          <w:p w14:paraId="158E89E7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TRGS: Gefahrstoffdaten und Gefahrstoff-Kennzeichnungen, AGW und BGW</w:t>
            </w:r>
          </w:p>
          <w:p w14:paraId="184D2B87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638BA4E5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Mesomerie und Aromatizität</w:t>
            </w:r>
          </w:p>
          <w:p w14:paraId="7F41D0A3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Besonderheiten und Kriterien des aromatischen Zustandes Reakti-onsverhalten, Mesomerieenergie:</w:t>
            </w:r>
          </w:p>
          <w:p w14:paraId="1AEDE930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1C999D6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Wichtige Benzolderivate:</w:t>
            </w:r>
          </w:p>
          <w:p w14:paraId="4E1F6AA0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Phenol, Toluol, Benzaldehyd, Terephthalsäure, Benzoesäure, Styrol, Anilin, Phenylalanin, TNT</w:t>
            </w:r>
          </w:p>
          <w:p w14:paraId="264A6BB2" w14:textId="77777777" w:rsidR="006B35F8" w:rsidRPr="006B35F8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Bedeutung bzw. Verwendung</w:t>
            </w:r>
          </w:p>
          <w:p w14:paraId="37762FE4" w14:textId="101250E7" w:rsidR="00280CB3" w:rsidRPr="00583476" w:rsidRDefault="006B35F8" w:rsidP="006B35F8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Strukturformeln und systematische Nomenklatur</w:t>
            </w:r>
          </w:p>
        </w:tc>
        <w:tc>
          <w:tcPr>
            <w:tcW w:w="6339" w:type="dxa"/>
            <w:tcBorders>
              <w:top w:val="nil"/>
            </w:tcBorders>
          </w:tcPr>
          <w:p w14:paraId="7E2CB235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8E57B8">
              <w:rPr>
                <w:sz w:val="20"/>
              </w:rPr>
              <w:lastRenderedPageBreak/>
              <w:t>Vergleich – Visualisierung mit Molekülbetrachtungsprogram http://chemie.lilo-ma.de/chlilo/c6h6/benzol.html</w:t>
            </w:r>
          </w:p>
          <w:p w14:paraId="13BD85F4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68C8AE4A" w14:textId="36718346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E57B8">
              <w:rPr>
                <w:iCs/>
                <w:sz w:val="20"/>
              </w:rPr>
              <w:t xml:space="preserve">Film zu Kekulé und dessen Aussage zur </w:t>
            </w:r>
            <w:r>
              <w:rPr>
                <w:iCs/>
                <w:sz w:val="20"/>
              </w:rPr>
              <w:t>M</w:t>
            </w:r>
            <w:r w:rsidRPr="008E57B8">
              <w:rPr>
                <w:iCs/>
                <w:sz w:val="20"/>
              </w:rPr>
              <w:t>olekülstruktur von Benzol</w:t>
            </w:r>
          </w:p>
          <w:p w14:paraId="75D3461D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535C2B1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E57B8">
              <w:rPr>
                <w:iCs/>
                <w:sz w:val="20"/>
              </w:rPr>
              <w:t xml:space="preserve">Recherche in Gefahrstoffdatenbanken, Zeitungsarchiven </w:t>
            </w:r>
            <w:r w:rsidRPr="008E57B8">
              <w:rPr>
                <w:iCs/>
                <w:sz w:val="20"/>
              </w:rPr>
              <w:br/>
            </w:r>
          </w:p>
          <w:p w14:paraId="3A7AD964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E57B8">
              <w:rPr>
                <w:iCs/>
                <w:sz w:val="20"/>
              </w:rPr>
              <w:t>Toluol als Benzol-Ersatzsubstanz (z. B. Bromierung von Toluol)</w:t>
            </w:r>
          </w:p>
          <w:p w14:paraId="15F2AA0C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972443C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FB07C46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E57B8">
              <w:rPr>
                <w:iCs/>
                <w:sz w:val="20"/>
              </w:rPr>
              <w:t>Exkurs: Mechanismus Elektrophile Addition am Aromat</w:t>
            </w:r>
          </w:p>
          <w:p w14:paraId="409C7866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DC3BB45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68F41437" w14:textId="3BC5DE03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0E2DACE" w14:textId="09F0CFC8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65FCEF2" w14:textId="549308F5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7CB8056" w14:textId="45073B35" w:rsidR="006B35F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1774389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6B86D20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E57B8">
              <w:rPr>
                <w:iCs/>
                <w:sz w:val="20"/>
              </w:rPr>
              <w:t>in Kurzreferaten</w:t>
            </w:r>
            <w:r>
              <w:rPr>
                <w:iCs/>
                <w:sz w:val="20"/>
              </w:rPr>
              <w:t xml:space="preserve"> einzel</w:t>
            </w:r>
            <w:r w:rsidRPr="008E57B8">
              <w:rPr>
                <w:iCs/>
                <w:sz w:val="20"/>
              </w:rPr>
              <w:t>ne Arom</w:t>
            </w:r>
            <w:r>
              <w:rPr>
                <w:iCs/>
                <w:sz w:val="20"/>
              </w:rPr>
              <w:t>a</w:t>
            </w:r>
            <w:r w:rsidRPr="008E57B8">
              <w:rPr>
                <w:iCs/>
                <w:sz w:val="20"/>
              </w:rPr>
              <w:t>te vorstellen lassen</w:t>
            </w:r>
            <w:r>
              <w:rPr>
                <w:iCs/>
                <w:sz w:val="20"/>
              </w:rPr>
              <w:t xml:space="preserve"> (Steckbriefe)</w:t>
            </w:r>
          </w:p>
          <w:p w14:paraId="1C3F5B17" w14:textId="77777777" w:rsidR="006B35F8" w:rsidRPr="008E57B8" w:rsidRDefault="006B35F8" w:rsidP="006B3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46D70767" w14:textId="77777777" w:rsidR="00280CB3" w:rsidRPr="00583476" w:rsidRDefault="00280CB3" w:rsidP="00D02B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</w:tc>
      </w:tr>
    </w:tbl>
    <w:p w14:paraId="4209F8EE" w14:textId="77777777" w:rsidR="00280CB3" w:rsidRDefault="00280CB3" w:rsidP="00280CB3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6B35F8" w14:paraId="71E9CA83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4E5B69BD" w14:textId="7428BB1D" w:rsidR="006B35F8" w:rsidRPr="00F23A9D" w:rsidRDefault="006B35F8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6. Kunststoffe</w:t>
            </w:r>
          </w:p>
        </w:tc>
        <w:tc>
          <w:tcPr>
            <w:tcW w:w="2942" w:type="dxa"/>
          </w:tcPr>
          <w:p w14:paraId="23F46595" w14:textId="385C731B" w:rsidR="006B35F8" w:rsidRPr="00D71CFF" w:rsidRDefault="006B35F8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7D477C">
              <w:rPr>
                <w:rFonts w:ascii="Arial" w:hAnsi="Arial" w:cs="Arial"/>
                <w:b w:val="0"/>
              </w:rPr>
              <w:t>2</w:t>
            </w:r>
            <w:r w:rsidR="00183BB1">
              <w:rPr>
                <w:rFonts w:ascii="Arial" w:hAnsi="Arial" w:cs="Arial"/>
                <w:b w:val="0"/>
              </w:rPr>
              <w:t>6</w:t>
            </w:r>
            <w:r w:rsidR="007D477C">
              <w:rPr>
                <w:rFonts w:ascii="Arial" w:hAnsi="Arial" w:cs="Arial"/>
                <w:b w:val="0"/>
              </w:rPr>
              <w:t>-3</w:t>
            </w:r>
            <w:r w:rsidR="00183BB1">
              <w:rPr>
                <w:rFonts w:ascii="Arial" w:hAnsi="Arial" w:cs="Arial"/>
                <w:b w:val="0"/>
              </w:rPr>
              <w:t>4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310AE513" w14:textId="77777777" w:rsidR="006B35F8" w:rsidRDefault="006B35F8" w:rsidP="006B35F8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6B35F8" w14:paraId="30B9DD53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0A02C985" w14:textId="77777777" w:rsidR="006B35F8" w:rsidRPr="009371DA" w:rsidRDefault="006B35F8" w:rsidP="00D02B6A">
            <w:pPr>
              <w:spacing w:line="276" w:lineRule="auto"/>
              <w:rPr>
                <w:rFonts w:ascii="Arial" w:hAnsi="Arial" w:cs="Arial"/>
              </w:rPr>
            </w:pPr>
            <w:r w:rsidRPr="009371DA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9AEF6" w14:textId="77777777" w:rsidR="006B35F8" w:rsidRPr="009371DA" w:rsidRDefault="006B35F8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71DA">
              <w:rPr>
                <w:rFonts w:ascii="Arial" w:hAnsi="Arial" w:cs="Arial"/>
              </w:rPr>
              <w:t>Hinweise/Ideen zur konkreten Umsetzung</w:t>
            </w:r>
          </w:p>
        </w:tc>
      </w:tr>
      <w:tr w:rsidR="007D477C" w14:paraId="1E090DD2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60947AF5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Synthese von Kunststoffen (im Praktikum)</w:t>
            </w:r>
          </w:p>
          <w:p w14:paraId="3B3DE311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 xml:space="preserve">Polymerisation, Polykondensation und Polyaddition, </w:t>
            </w:r>
            <w:r w:rsidRPr="006B35F8">
              <w:rPr>
                <w:b w:val="0"/>
                <w:bCs w:val="0"/>
                <w:sz w:val="20"/>
              </w:rPr>
              <w:br/>
              <w:t>Prinzipien der Monomerenverknüpfung:</w:t>
            </w:r>
            <w:r w:rsidRPr="006B35F8">
              <w:rPr>
                <w:b w:val="0"/>
                <w:bCs w:val="0"/>
                <w:sz w:val="20"/>
              </w:rPr>
              <w:br/>
              <w:t>Anforderungen an die Monomerstruktur, Unterschiede der Polyreaktionen</w:t>
            </w:r>
          </w:p>
          <w:p w14:paraId="503CE9C0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Reaktionsschritte der radikalischen Polymerisation;</w:t>
            </w:r>
          </w:p>
          <w:p w14:paraId="4BE05E24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 xml:space="preserve">Einfluss von Starterkonzentration, Polymerisationsdauer, Temperatur etc. </w:t>
            </w:r>
          </w:p>
          <w:p w14:paraId="79885A6D" w14:textId="77777777" w:rsidR="007D477C" w:rsidRPr="006B35F8" w:rsidRDefault="007D477C" w:rsidP="007D477C">
            <w:pPr>
              <w:rPr>
                <w:b w:val="0"/>
                <w:bCs w:val="0"/>
                <w:color w:val="FFC000"/>
              </w:rPr>
            </w:pPr>
          </w:p>
          <w:p w14:paraId="7F01EF25" w14:textId="77777777" w:rsidR="007D477C" w:rsidRPr="006B35F8" w:rsidRDefault="007D477C" w:rsidP="007D477C">
            <w:pPr>
              <w:rPr>
                <w:b w:val="0"/>
                <w:bCs w:val="0"/>
                <w:color w:val="FFC000"/>
                <w:sz w:val="20"/>
              </w:rPr>
            </w:pPr>
          </w:p>
          <w:p w14:paraId="08405FD9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28A9AF9F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Kunststoffe-Werkstoffe nach Maß</w:t>
            </w:r>
          </w:p>
          <w:p w14:paraId="10C32B8D" w14:textId="77777777" w:rsidR="007D477C" w:rsidRPr="006B35F8" w:rsidRDefault="007D477C" w:rsidP="007D477C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Untersuchung von Kunststoffeigenschaften</w:t>
            </w:r>
          </w:p>
          <w:p w14:paraId="2A6A69F6" w14:textId="77777777" w:rsidR="007D477C" w:rsidRPr="006B35F8" w:rsidRDefault="007D477C" w:rsidP="007D477C">
            <w:pPr>
              <w:rPr>
                <w:b w:val="0"/>
                <w:bCs w:val="0"/>
                <w:sz w:val="20"/>
              </w:rPr>
            </w:pPr>
          </w:p>
          <w:p w14:paraId="4F6FBC83" w14:textId="77777777" w:rsidR="007D477C" w:rsidRPr="006B35F8" w:rsidRDefault="007D477C" w:rsidP="007D477C">
            <w:pPr>
              <w:rPr>
                <w:b w:val="0"/>
                <w:bCs w:val="0"/>
                <w:color w:val="FFC000"/>
                <w:sz w:val="16"/>
                <w:szCs w:val="16"/>
              </w:rPr>
            </w:pPr>
          </w:p>
          <w:p w14:paraId="0C9FC5A2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Struktureller Aufbau von Kunststoffen</w:t>
            </w:r>
          </w:p>
          <w:p w14:paraId="686D9BBC" w14:textId="77777777" w:rsidR="007D477C" w:rsidRPr="006B35F8" w:rsidRDefault="007D477C" w:rsidP="007D477C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Thermoplaste, Duroplaste, Elaste:</w:t>
            </w:r>
            <w:r w:rsidRPr="006B35F8">
              <w:rPr>
                <w:b w:val="0"/>
                <w:bCs w:val="0"/>
                <w:sz w:val="20"/>
              </w:rPr>
              <w:br/>
              <w:t>thermische und mechanische Eigenschaften mit Erklärung aus der Molekül- und Ordnungsstruktur; Verarbeitungsmethoden</w:t>
            </w:r>
          </w:p>
          <w:p w14:paraId="4FFC6ADD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Beziehungen zwischen Monomerenauswahl und Eigenschaften der Polymeren</w:t>
            </w:r>
          </w:p>
          <w:p w14:paraId="219C8BE2" w14:textId="77777777" w:rsidR="007D477C" w:rsidRPr="006B35F8" w:rsidRDefault="007D477C" w:rsidP="007D477C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i/>
                <w:color w:val="FFC000"/>
                <w:sz w:val="20"/>
              </w:rPr>
            </w:pPr>
          </w:p>
          <w:p w14:paraId="0DAF30A6" w14:textId="77777777" w:rsidR="007D477C" w:rsidRPr="006B35F8" w:rsidRDefault="007D477C" w:rsidP="007D477C">
            <w:pPr>
              <w:shd w:val="clear" w:color="auto" w:fill="FFFFFF"/>
              <w:spacing w:before="60"/>
              <w:ind w:right="204" w:hanging="6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Verarbeitung von Kunststoffen</w:t>
            </w:r>
          </w:p>
          <w:p w14:paraId="14EA1817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73AADE47" w14:textId="394E5C25" w:rsidR="007D477C" w:rsidRDefault="007D477C" w:rsidP="007D477C">
            <w:pPr>
              <w:shd w:val="clear" w:color="auto" w:fill="FFFFFF"/>
              <w:rPr>
                <w:sz w:val="20"/>
              </w:rPr>
            </w:pPr>
          </w:p>
          <w:p w14:paraId="0E31C239" w14:textId="25F4C2D3" w:rsidR="007D477C" w:rsidRDefault="007D477C" w:rsidP="007D477C">
            <w:pPr>
              <w:shd w:val="clear" w:color="auto" w:fill="FFFFFF"/>
              <w:rPr>
                <w:sz w:val="20"/>
              </w:rPr>
            </w:pPr>
          </w:p>
          <w:p w14:paraId="39E2E262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7D1E4545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Wiederverwertung von Kunststoffen</w:t>
            </w:r>
          </w:p>
          <w:p w14:paraId="0D547576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7C2ADA0C" w14:textId="77777777" w:rsidR="007D477C" w:rsidRPr="006B35F8" w:rsidRDefault="007D477C" w:rsidP="007D477C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Methoden von Kunststoffrecycling</w:t>
            </w:r>
          </w:p>
          <w:p w14:paraId="69E5BAAC" w14:textId="77777777" w:rsidR="007D477C" w:rsidRPr="006B35F8" w:rsidRDefault="007D477C" w:rsidP="007D477C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Biobasierte und biologisch abbaubare Kunststoffe</w:t>
            </w:r>
          </w:p>
          <w:p w14:paraId="2D3752EB" w14:textId="77777777" w:rsidR="007D477C" w:rsidRPr="006B35F8" w:rsidRDefault="007D477C" w:rsidP="007D477C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637AB221" w14:textId="75B64D2C" w:rsidR="007D477C" w:rsidRPr="007D477C" w:rsidRDefault="007D477C" w:rsidP="007D477C">
            <w:pPr>
              <w:shd w:val="clear" w:color="auto" w:fill="FFFFFF"/>
              <w:spacing w:before="60"/>
              <w:ind w:right="204"/>
              <w:rPr>
                <w:b w:val="0"/>
                <w:bCs w:val="0"/>
                <w:i/>
                <w:sz w:val="20"/>
              </w:rPr>
            </w:pPr>
            <w:r w:rsidRPr="006B35F8">
              <w:rPr>
                <w:b w:val="0"/>
                <w:bCs w:val="0"/>
                <w:sz w:val="20"/>
              </w:rPr>
              <w:t>Funktionelle Polymere</w:t>
            </w:r>
          </w:p>
        </w:tc>
        <w:tc>
          <w:tcPr>
            <w:tcW w:w="6339" w:type="dxa"/>
            <w:tcBorders>
              <w:top w:val="nil"/>
            </w:tcBorders>
          </w:tcPr>
          <w:p w14:paraId="18A87D5A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lastRenderedPageBreak/>
              <w:t>(Rückgriff auf Kondensationsreaktionen bei den Naturstoffen)</w:t>
            </w:r>
          </w:p>
          <w:p w14:paraId="12DDAD41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24227">
              <w:rPr>
                <w:sz w:val="20"/>
              </w:rPr>
              <w:t>Polymerisation von Styrol (Radikalstarter AIBN), Herstellung von PMMA-Platten, Grenzflächenkondensation von Nylon,</w:t>
            </w:r>
            <w:r>
              <w:rPr>
                <w:sz w:val="20"/>
              </w:rPr>
              <w:t xml:space="preserve"> Polylactid-Herstellung,</w:t>
            </w:r>
            <w:r w:rsidRPr="00124227">
              <w:rPr>
                <w:sz w:val="20"/>
              </w:rPr>
              <w:t xml:space="preserve"> PU-Schaum (z.B. aus InstaPak Quick Schaumverpackungen</w:t>
            </w:r>
            <w:r>
              <w:rPr>
                <w:sz w:val="20"/>
              </w:rPr>
              <w:t>)</w:t>
            </w:r>
          </w:p>
          <w:p w14:paraId="5D4C5BFF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Anwendungsbeispiel zur Polymerisation aus dem Alltag: Sekundenkleber (Cyanacrylat-Klebstoff)</w:t>
            </w:r>
          </w:p>
          <w:p w14:paraId="5572271E" w14:textId="3A241ECC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Verstrecken eines Polyamidfadens </w:t>
            </w:r>
            <w:r w:rsidR="009371DA">
              <w:rPr>
                <w:sz w:val="20"/>
              </w:rPr>
              <w:t>–</w:t>
            </w:r>
            <w:r>
              <w:rPr>
                <w:sz w:val="20"/>
              </w:rPr>
              <w:t xml:space="preserve"> Reißfestigkeitsvergleich</w:t>
            </w:r>
          </w:p>
          <w:p w14:paraId="5419366D" w14:textId="01908B09" w:rsidR="009371DA" w:rsidRDefault="009371DA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Verstrecken einer PE-LD-Folie</w:t>
            </w:r>
          </w:p>
          <w:p w14:paraId="17538FCE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7BC08682" w14:textId="77777777" w:rsidR="007D477C" w:rsidRPr="00124227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24227">
              <w:rPr>
                <w:sz w:val="20"/>
              </w:rPr>
              <w:t>Einsatz eines Molekülbetrachtungsprogramms – aus einem Polymerausschnitt auf die Monomere schließen:</w:t>
            </w:r>
          </w:p>
          <w:p w14:paraId="23F51DAB" w14:textId="77777777" w:rsidR="007D477C" w:rsidRDefault="00D02B6A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C000"/>
                <w:sz w:val="20"/>
              </w:rPr>
            </w:pPr>
            <w:hyperlink r:id="rId9" w:history="1">
              <w:r w:rsidR="007D477C" w:rsidRPr="00124227">
                <w:rPr>
                  <w:rStyle w:val="Hyperlink"/>
                  <w:color w:val="auto"/>
                  <w:sz w:val="20"/>
                </w:rPr>
                <w:t>http://chemie.lilo-ma.de/chlilo/kunststoffe/kunststoffe.html</w:t>
              </w:r>
            </w:hyperlink>
            <w:r w:rsidR="007D477C">
              <w:rPr>
                <w:color w:val="FFC000"/>
                <w:sz w:val="20"/>
              </w:rPr>
              <w:t xml:space="preserve"> </w:t>
            </w:r>
          </w:p>
          <w:p w14:paraId="0D7FE717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C000"/>
                <w:sz w:val="20"/>
              </w:rPr>
            </w:pPr>
          </w:p>
          <w:p w14:paraId="7ED11925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A004E">
              <w:rPr>
                <w:sz w:val="20"/>
              </w:rPr>
              <w:t>Untersuchung</w:t>
            </w:r>
            <w:r>
              <w:rPr>
                <w:sz w:val="20"/>
              </w:rPr>
              <w:t xml:space="preserve">/Identifikation </w:t>
            </w:r>
            <w:r w:rsidRPr="005A004E">
              <w:rPr>
                <w:sz w:val="20"/>
              </w:rPr>
              <w:t xml:space="preserve">von Kunststoffproben </w:t>
            </w:r>
            <w:r>
              <w:rPr>
                <w:sz w:val="20"/>
              </w:rPr>
              <w:t xml:space="preserve">( Quelle: PlasticsEurope) </w:t>
            </w:r>
            <w:r w:rsidRPr="005A004E">
              <w:rPr>
                <w:sz w:val="20"/>
              </w:rPr>
              <w:t>und einfache Klassifizierung</w:t>
            </w:r>
            <w:r>
              <w:rPr>
                <w:sz w:val="20"/>
              </w:rPr>
              <w:t xml:space="preserve"> (Dichte, Brennprobe, Untersuchung der Pyrolyseprodukte, Beständigkeit gegenüber Lösungsmitteln)</w:t>
            </w:r>
          </w:p>
          <w:p w14:paraId="36BE9EB2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C000"/>
                <w:sz w:val="20"/>
              </w:rPr>
            </w:pPr>
          </w:p>
          <w:p w14:paraId="6F119E23" w14:textId="77777777" w:rsidR="007D477C" w:rsidRPr="00EB4306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C000"/>
                <w:sz w:val="20"/>
              </w:rPr>
            </w:pPr>
            <w:r w:rsidRPr="008803B7">
              <w:rPr>
                <w:sz w:val="20"/>
              </w:rPr>
              <w:t>Vergleich PE-</w:t>
            </w:r>
            <w:r>
              <w:rPr>
                <w:sz w:val="20"/>
              </w:rPr>
              <w:t xml:space="preserve">Folie, </w:t>
            </w:r>
            <w:r w:rsidRPr="008803B7">
              <w:rPr>
                <w:sz w:val="20"/>
              </w:rPr>
              <w:t>Zellophan-Folie</w:t>
            </w:r>
            <w:r>
              <w:rPr>
                <w:sz w:val="20"/>
              </w:rPr>
              <w:t>, Folie aus Polyvinylalkohol</w:t>
            </w:r>
          </w:p>
          <w:p w14:paraId="11EC8B72" w14:textId="77777777" w:rsidR="007D477C" w:rsidRPr="00EB4306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C000"/>
                <w:sz w:val="20"/>
              </w:rPr>
            </w:pPr>
          </w:p>
          <w:p w14:paraId="4B36C56E" w14:textId="77777777" w:rsidR="007D477C" w:rsidRPr="0008080F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08080F">
              <w:rPr>
                <w:iCs/>
                <w:sz w:val="20"/>
              </w:rPr>
              <w:t>Besuch eines Kunststoffverarbeitenden Betriebes, Alternativ Internetrecherche mit dem Ziel Videosequenzen zu den Verarbeitungsmöglichkeiten zu präsentieren.</w:t>
            </w:r>
          </w:p>
          <w:p w14:paraId="0F40F125" w14:textId="7FD34DD1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A03A9F">
              <w:rPr>
                <w:iCs/>
                <w:sz w:val="20"/>
              </w:rPr>
              <w:t>Experimente mit Joghurtbechern</w:t>
            </w:r>
            <w:r>
              <w:rPr>
                <w:iCs/>
                <w:sz w:val="20"/>
              </w:rPr>
              <w:t xml:space="preserve"> (Rückführung in Platten)</w:t>
            </w:r>
          </w:p>
          <w:p w14:paraId="685D39BE" w14:textId="2FAA74C4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>Tiefziehen mit Nutsche</w:t>
            </w:r>
          </w:p>
          <w:p w14:paraId="496FC64C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Bügelperlen</w:t>
            </w:r>
          </w:p>
          <w:p w14:paraId="601731BE" w14:textId="77777777" w:rsidR="007D477C" w:rsidRPr="00A03A9F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9663DF5" w14:textId="77777777" w:rsidR="007D477C" w:rsidRPr="0038580D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8580D">
              <w:rPr>
                <w:iCs/>
                <w:sz w:val="20"/>
              </w:rPr>
              <w:t xml:space="preserve">Kompostierbare Müllbeutel, </w:t>
            </w:r>
          </w:p>
          <w:p w14:paraId="02639774" w14:textId="77777777" w:rsidR="007D477C" w:rsidRPr="0038580D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8580D">
              <w:rPr>
                <w:iCs/>
                <w:sz w:val="20"/>
              </w:rPr>
              <w:t>Betrachtung</w:t>
            </w:r>
            <w:r>
              <w:rPr>
                <w:iCs/>
                <w:sz w:val="20"/>
              </w:rPr>
              <w:t>en</w:t>
            </w:r>
            <w:r w:rsidRPr="0038580D">
              <w:rPr>
                <w:iCs/>
                <w:sz w:val="20"/>
              </w:rPr>
              <w:t xml:space="preserve"> zur Nachhaltigkeit</w:t>
            </w:r>
          </w:p>
          <w:p w14:paraId="41B60080" w14:textId="77777777" w:rsidR="007D477C" w:rsidRPr="0038580D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8580D">
              <w:rPr>
                <w:iCs/>
                <w:sz w:val="20"/>
              </w:rPr>
              <w:t>Stärkefolie</w:t>
            </w:r>
            <w:r>
              <w:rPr>
                <w:iCs/>
                <w:sz w:val="20"/>
              </w:rPr>
              <w:t xml:space="preserve"> herstellen </w:t>
            </w:r>
          </w:p>
          <w:p w14:paraId="7E3E13A7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FFC000"/>
                <w:sz w:val="20"/>
              </w:rPr>
            </w:pPr>
          </w:p>
          <w:p w14:paraId="2E84E6C1" w14:textId="77777777" w:rsidR="007D477C" w:rsidRPr="00A03A9F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A03A9F">
              <w:rPr>
                <w:iCs/>
                <w:sz w:val="20"/>
              </w:rPr>
              <w:t>z. B. Babywindeln, ein Kunststoff als Superabsorber mit Saugkraft</w:t>
            </w:r>
            <w:r>
              <w:rPr>
                <w:iCs/>
                <w:sz w:val="20"/>
              </w:rPr>
              <w:br/>
            </w:r>
          </w:p>
          <w:p w14:paraId="3B9541F8" w14:textId="77777777" w:rsidR="007D477C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GFS: </w:t>
            </w:r>
            <w:r w:rsidRPr="0038580D">
              <w:rPr>
                <w:iCs/>
                <w:sz w:val="20"/>
              </w:rPr>
              <w:t xml:space="preserve">Staudinger-Portrait, Geschichte der Kunststoffe </w:t>
            </w:r>
          </w:p>
          <w:p w14:paraId="6810A859" w14:textId="77777777" w:rsidR="007D477C" w:rsidRPr="0038580D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br/>
            </w:r>
            <w:r w:rsidRPr="0038580D">
              <w:rPr>
                <w:iCs/>
                <w:sz w:val="20"/>
              </w:rPr>
              <w:t>Exkurs: Von der „Latexmilch zum Gummi“</w:t>
            </w:r>
          </w:p>
          <w:p w14:paraId="621755B1" w14:textId="77777777" w:rsidR="007D477C" w:rsidRPr="0038580D" w:rsidRDefault="007D477C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8580D">
              <w:rPr>
                <w:iCs/>
                <w:sz w:val="20"/>
              </w:rPr>
              <w:t>Exkurs: Copolymerisation</w:t>
            </w:r>
          </w:p>
          <w:p w14:paraId="49A36FE9" w14:textId="74106BBF" w:rsidR="007D477C" w:rsidRPr="00583476" w:rsidRDefault="00256306" w:rsidP="007D47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Exkurs: Silicone</w:t>
            </w:r>
          </w:p>
        </w:tc>
      </w:tr>
    </w:tbl>
    <w:p w14:paraId="6804F97A" w14:textId="5BB49A44" w:rsidR="00280CB3" w:rsidRDefault="00280CB3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7D477C" w14:paraId="29368996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5019B3DA" w14:textId="0D55984F" w:rsidR="007D477C" w:rsidRPr="00F23A9D" w:rsidRDefault="007D477C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7. Elektrochemie</w:t>
            </w:r>
          </w:p>
        </w:tc>
        <w:tc>
          <w:tcPr>
            <w:tcW w:w="2942" w:type="dxa"/>
          </w:tcPr>
          <w:p w14:paraId="05159D0C" w14:textId="5636FD0E" w:rsidR="007D477C" w:rsidRPr="00D71CFF" w:rsidRDefault="007D477C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 xml:space="preserve">(ca. </w:t>
            </w:r>
            <w:r w:rsidR="009371DA">
              <w:rPr>
                <w:rFonts w:ascii="Arial" w:hAnsi="Arial" w:cs="Arial"/>
                <w:b w:val="0"/>
              </w:rPr>
              <w:t>3</w:t>
            </w:r>
            <w:r w:rsidR="00183BB1">
              <w:rPr>
                <w:rFonts w:ascii="Arial" w:hAnsi="Arial" w:cs="Arial"/>
                <w:b w:val="0"/>
              </w:rPr>
              <w:t>2</w:t>
            </w:r>
            <w:r w:rsidR="009371DA">
              <w:rPr>
                <w:rFonts w:ascii="Arial" w:hAnsi="Arial" w:cs="Arial"/>
                <w:b w:val="0"/>
              </w:rPr>
              <w:t>-4</w:t>
            </w:r>
            <w:r w:rsidR="00183BB1">
              <w:rPr>
                <w:rFonts w:ascii="Arial" w:hAnsi="Arial" w:cs="Arial"/>
                <w:b w:val="0"/>
              </w:rPr>
              <w:t>2</w:t>
            </w:r>
            <w:r w:rsidRPr="00F23A9D">
              <w:rPr>
                <w:rFonts w:ascii="Arial" w:hAnsi="Arial" w:cs="Arial"/>
                <w:b w:val="0"/>
              </w:rPr>
              <w:t xml:space="preserve"> Stunden)</w:t>
            </w:r>
          </w:p>
        </w:tc>
      </w:tr>
    </w:tbl>
    <w:p w14:paraId="2C490A1F" w14:textId="77777777" w:rsidR="007D477C" w:rsidRDefault="007D477C" w:rsidP="007D477C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7D477C" w14:paraId="0EF0891A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09161DCF" w14:textId="77777777" w:rsidR="007D477C" w:rsidRPr="009371DA" w:rsidRDefault="007D477C" w:rsidP="00D02B6A">
            <w:pPr>
              <w:spacing w:line="276" w:lineRule="auto"/>
              <w:rPr>
                <w:rFonts w:ascii="Arial" w:hAnsi="Arial" w:cs="Arial"/>
              </w:rPr>
            </w:pPr>
            <w:r w:rsidRPr="009371DA">
              <w:rPr>
                <w:rFonts w:ascii="Arial" w:hAnsi="Arial" w:cs="Arial"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239CF" w14:textId="77777777" w:rsidR="007D477C" w:rsidRPr="009371DA" w:rsidRDefault="007D477C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71DA">
              <w:rPr>
                <w:rFonts w:ascii="Arial" w:hAnsi="Arial" w:cs="Arial"/>
              </w:rPr>
              <w:t>Hinweise/Ideen zur konkreten Umsetzung</w:t>
            </w:r>
          </w:p>
        </w:tc>
      </w:tr>
      <w:tr w:rsidR="009371DA" w14:paraId="126AE1BA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084FBE44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Redoxreaktionen</w:t>
            </w:r>
          </w:p>
          <w:p w14:paraId="7642E621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Redoxreaktionen als Elektronenübergang (WH), Oxidationszahlen, Redoxpaare</w:t>
            </w:r>
          </w:p>
          <w:p w14:paraId="7F837F5D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60037245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Redoxreihe der Metalle („Fällungsreihe“) – Praktikum</w:t>
            </w:r>
          </w:p>
          <w:p w14:paraId="7F43B667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 xml:space="preserve"> </w:t>
            </w:r>
          </w:p>
          <w:p w14:paraId="63B9787D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Halbzellen – galvanische Zellen</w:t>
            </w:r>
          </w:p>
          <w:p w14:paraId="5D5042FA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Elektronenübergang als Stromfluss</w:t>
            </w:r>
          </w:p>
          <w:p w14:paraId="6B265C6A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(Praktikum)</w:t>
            </w:r>
          </w:p>
          <w:p w14:paraId="39B4486B" w14:textId="77777777" w:rsidR="009371DA" w:rsidRPr="009371DA" w:rsidRDefault="009371DA" w:rsidP="009371DA">
            <w:pPr>
              <w:rPr>
                <w:rFonts w:eastAsia="SimSun"/>
                <w:b w:val="0"/>
                <w:bCs w:val="0"/>
                <w:sz w:val="20"/>
                <w:lang w:eastAsia="zh-CN"/>
              </w:rPr>
            </w:pPr>
          </w:p>
          <w:p w14:paraId="544AF8BA" w14:textId="77777777" w:rsidR="009371DA" w:rsidRPr="009371DA" w:rsidRDefault="009371DA" w:rsidP="009371DA">
            <w:pPr>
              <w:rPr>
                <w:rFonts w:eastAsia="SimSun"/>
                <w:b w:val="0"/>
                <w:bCs w:val="0"/>
                <w:sz w:val="20"/>
                <w:lang w:eastAsia="zh-CN"/>
              </w:rPr>
            </w:pPr>
          </w:p>
          <w:p w14:paraId="5B34D8D3" w14:textId="77777777" w:rsidR="009371DA" w:rsidRPr="009371DA" w:rsidRDefault="009371DA" w:rsidP="009371DA">
            <w:pPr>
              <w:shd w:val="clear" w:color="auto" w:fill="FFFFFF"/>
              <w:rPr>
                <w:rFonts w:eastAsia="SimSun"/>
                <w:b w:val="0"/>
                <w:bCs w:val="0"/>
                <w:sz w:val="20"/>
                <w:lang w:eastAsia="zh-CN"/>
              </w:rPr>
            </w:pPr>
            <w:r w:rsidRPr="009371DA">
              <w:rPr>
                <w:rFonts w:eastAsia="SimSun"/>
                <w:b w:val="0"/>
                <w:bCs w:val="0"/>
                <w:sz w:val="20"/>
                <w:lang w:eastAsia="zh-CN"/>
              </w:rPr>
              <w:t>Nernst’sche Modellvorstellung (Spannung als Differenz von Elektrodengleichgewichten)</w:t>
            </w:r>
          </w:p>
          <w:p w14:paraId="156F0E04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rFonts w:eastAsia="SimSun"/>
                <w:b w:val="0"/>
                <w:bCs w:val="0"/>
                <w:sz w:val="20"/>
                <w:lang w:eastAsia="zh-CN"/>
              </w:rPr>
            </w:pPr>
            <w:r w:rsidRPr="009371DA">
              <w:rPr>
                <w:rFonts w:eastAsia="SimSun"/>
                <w:b w:val="0"/>
                <w:bCs w:val="0"/>
                <w:sz w:val="20"/>
                <w:lang w:eastAsia="zh-CN"/>
              </w:rPr>
              <w:t>Spannungsmessungen</w:t>
            </w:r>
          </w:p>
          <w:p w14:paraId="6079707D" w14:textId="77777777" w:rsidR="009371DA" w:rsidRPr="009371DA" w:rsidRDefault="009371DA" w:rsidP="009371DA">
            <w:pPr>
              <w:shd w:val="clear" w:color="auto" w:fill="FFFFFF"/>
              <w:rPr>
                <w:rFonts w:eastAsia="SimSun"/>
                <w:b w:val="0"/>
                <w:bCs w:val="0"/>
                <w:sz w:val="20"/>
                <w:lang w:eastAsia="zh-CN"/>
              </w:rPr>
            </w:pPr>
            <w:r w:rsidRPr="009371DA">
              <w:rPr>
                <w:rFonts w:eastAsia="SimSun"/>
                <w:b w:val="0"/>
                <w:bCs w:val="0"/>
                <w:sz w:val="20"/>
                <w:lang w:eastAsia="zh-CN"/>
              </w:rPr>
              <w:t>Anwendung der Nernst’schen Vorstellung</w:t>
            </w:r>
          </w:p>
          <w:p w14:paraId="2DDD5EBA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087CDF4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14F4CEF4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Standardpotenziale</w:t>
            </w:r>
          </w:p>
          <w:p w14:paraId="0EB41ACB" w14:textId="77777777" w:rsidR="009371DA" w:rsidRPr="009371DA" w:rsidRDefault="009371DA" w:rsidP="009371DA">
            <w:pPr>
              <w:rPr>
                <w:rFonts w:eastAsia="SimSun"/>
                <w:b w:val="0"/>
                <w:bCs w:val="0"/>
                <w:sz w:val="20"/>
                <w:lang w:eastAsia="zh-CN"/>
              </w:rPr>
            </w:pPr>
          </w:p>
          <w:p w14:paraId="2E74A168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 xml:space="preserve">Bezugspunkt: Standard-Wasserstoffhalbzelle </w:t>
            </w:r>
          </w:p>
          <w:p w14:paraId="4B60ED72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60820002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Tabelle der Standardpotenziale</w:t>
            </w:r>
          </w:p>
          <w:p w14:paraId="76474582" w14:textId="77777777" w:rsidR="009371DA" w:rsidRPr="009371DA" w:rsidRDefault="009371DA" w:rsidP="009371DA">
            <w:pPr>
              <w:rPr>
                <w:b w:val="0"/>
                <w:bCs w:val="0"/>
                <w:sz w:val="20"/>
              </w:rPr>
            </w:pPr>
          </w:p>
          <w:p w14:paraId="274284F0" w14:textId="77777777" w:rsidR="009371DA" w:rsidRPr="009371DA" w:rsidRDefault="009371DA" w:rsidP="009371DA">
            <w:pPr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Konzentrationselemente (qualitativ)</w:t>
            </w:r>
          </w:p>
          <w:p w14:paraId="3DF2B6A4" w14:textId="77777777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2355880C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Elektrolyse</w:t>
            </w:r>
            <w:r w:rsidRPr="009371DA">
              <w:rPr>
                <w:b w:val="0"/>
                <w:bCs w:val="0"/>
                <w:sz w:val="20"/>
              </w:rPr>
              <w:br/>
              <w:t xml:space="preserve">Elektrolyse als zwangsweise Umkehrung galvanischer Vorgänge  </w:t>
            </w:r>
          </w:p>
          <w:p w14:paraId="2350FF5D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Praktikum Zinkiodid-Elektrolyse</w:t>
            </w:r>
          </w:p>
          <w:p w14:paraId="756165CE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348B7391" w14:textId="77777777" w:rsidR="009371DA" w:rsidRPr="009371DA" w:rsidRDefault="009371DA" w:rsidP="009371DA">
            <w:pPr>
              <w:rPr>
                <w:rFonts w:eastAsia="SimSun"/>
                <w:b w:val="0"/>
                <w:bCs w:val="0"/>
                <w:sz w:val="20"/>
                <w:lang w:eastAsia="zh-CN"/>
              </w:rPr>
            </w:pPr>
            <w:r w:rsidRPr="009371DA">
              <w:rPr>
                <w:rFonts w:eastAsia="SimSun"/>
                <w:b w:val="0"/>
                <w:bCs w:val="0"/>
                <w:sz w:val="20"/>
                <w:lang w:eastAsia="zh-CN"/>
              </w:rPr>
              <w:br/>
            </w:r>
          </w:p>
          <w:p w14:paraId="64DD5286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Phänomen der Überspannung am Beispiel der Elektrolyse von Wasser</w:t>
            </w:r>
          </w:p>
          <w:p w14:paraId="19B3B826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1EAC38A3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50058CD8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Elektrochemische Stromquellen</w:t>
            </w:r>
            <w:r w:rsidRPr="009371DA">
              <w:rPr>
                <w:b w:val="0"/>
                <w:bCs w:val="0"/>
                <w:sz w:val="20"/>
              </w:rPr>
              <w:br/>
              <w:t>Primär- und Sekundärelemente:</w:t>
            </w:r>
          </w:p>
          <w:p w14:paraId="7FF92D2E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iCs/>
                <w:sz w:val="20"/>
              </w:rPr>
            </w:pPr>
          </w:p>
          <w:p w14:paraId="15474170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iCs/>
                <w:sz w:val="20"/>
              </w:rPr>
            </w:pPr>
            <w:r w:rsidRPr="009371DA">
              <w:rPr>
                <w:b w:val="0"/>
                <w:bCs w:val="0"/>
                <w:iCs/>
                <w:sz w:val="20"/>
              </w:rPr>
              <w:t>Zink-/Kohle Element (Leclanche)</w:t>
            </w:r>
          </w:p>
          <w:p w14:paraId="69A625C0" w14:textId="77777777" w:rsidR="009371DA" w:rsidRPr="009371DA" w:rsidRDefault="009371DA" w:rsidP="009371DA">
            <w:pPr>
              <w:shd w:val="clear" w:color="auto" w:fill="FFFFFF"/>
              <w:rPr>
                <w:b w:val="0"/>
                <w:bCs w:val="0"/>
                <w:sz w:val="20"/>
              </w:rPr>
            </w:pPr>
          </w:p>
          <w:p w14:paraId="26031C34" w14:textId="77777777" w:rsidR="009371DA" w:rsidRPr="009371DA" w:rsidRDefault="009371DA" w:rsidP="009371DA">
            <w:pPr>
              <w:rPr>
                <w:b w:val="0"/>
                <w:bCs w:val="0"/>
                <w:sz w:val="20"/>
              </w:rPr>
            </w:pPr>
            <w:r w:rsidRPr="009371DA">
              <w:rPr>
                <w:b w:val="0"/>
                <w:bCs w:val="0"/>
                <w:sz w:val="20"/>
              </w:rPr>
              <w:t>Bleiakkumulator</w:t>
            </w:r>
            <w:r w:rsidRPr="009371DA">
              <w:rPr>
                <w:b w:val="0"/>
                <w:bCs w:val="0"/>
                <w:sz w:val="20"/>
              </w:rPr>
              <w:br/>
            </w:r>
            <w:r w:rsidRPr="009371DA">
              <w:rPr>
                <w:b w:val="0"/>
                <w:bCs w:val="0"/>
                <w:sz w:val="20"/>
              </w:rPr>
              <w:br/>
              <w:t>Brennstoffzelle</w:t>
            </w:r>
          </w:p>
          <w:p w14:paraId="605DCE7B" w14:textId="77777777" w:rsidR="009371DA" w:rsidRPr="009371DA" w:rsidRDefault="009371DA" w:rsidP="009371DA">
            <w:pPr>
              <w:rPr>
                <w:b w:val="0"/>
                <w:bCs w:val="0"/>
                <w:sz w:val="20"/>
              </w:rPr>
            </w:pPr>
          </w:p>
          <w:p w14:paraId="228B452C" w14:textId="620EBDC4" w:rsidR="009371DA" w:rsidRPr="009371DA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i/>
                <w:sz w:val="20"/>
              </w:rPr>
            </w:pPr>
          </w:p>
        </w:tc>
        <w:tc>
          <w:tcPr>
            <w:tcW w:w="6339" w:type="dxa"/>
            <w:tcBorders>
              <w:top w:val="nil"/>
            </w:tcBorders>
          </w:tcPr>
          <w:p w14:paraId="33A118C6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20"/>
              </w:rPr>
            </w:pPr>
            <w:r w:rsidRPr="003B435C">
              <w:rPr>
                <w:b/>
                <w:iCs/>
                <w:sz w:val="20"/>
              </w:rPr>
              <w:lastRenderedPageBreak/>
              <w:t>Vgl. umfangreiches Material ZPG II</w:t>
            </w:r>
          </w:p>
          <w:p w14:paraId="464020B2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2533326B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Ausgehend von bekannten Redoxreaktionen der Mittelstufe (z.B. verschiedene Salzsynthesen, Thermit-Reaktion) zu Oxidationsreaktionen der Alkohole (Petrischalenversuche, „Chlorunfall“ beim Putzen</w:t>
            </w:r>
            <w:r>
              <w:rPr>
                <w:sz w:val="20"/>
              </w:rPr>
              <w:t>, Platinen ätzen</w:t>
            </w:r>
            <w:r w:rsidRPr="003B435C">
              <w:rPr>
                <w:sz w:val="20"/>
              </w:rPr>
              <w:t>), Aufstellen von Redoxgleichen mit pH-Abhängigkeit</w:t>
            </w:r>
          </w:p>
          <w:p w14:paraId="3821FFF9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0B65C9C7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Herausarbeitung der Gemeinsamkeiten, Parallelen zu S/B-Reaktionen</w:t>
            </w:r>
          </w:p>
          <w:p w14:paraId="5AFA945C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A1A68AF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Ausgehend von der Fällungsreihe soll ein räumlich getrennter Aufbau entwickelt werden, so dass eine Spannung/Stromfluss „genutzt“ werden kann.</w:t>
            </w:r>
          </w:p>
          <w:p w14:paraId="422EE48E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1C02F368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Vertiefung: Redoxreihe der Halogene (Spritzenexperimente)</w:t>
            </w:r>
          </w:p>
          <w:p w14:paraId="38408BC3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1F3E8D69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 xml:space="preserve">Spannung als Voraussetzung für Strom </w:t>
            </w:r>
            <w:r w:rsidRPr="003B435C">
              <w:rPr>
                <w:sz w:val="20"/>
              </w:rPr>
              <w:sym w:font="Wingdings" w:char="F0E0"/>
            </w:r>
            <w:r w:rsidRPr="003B435C">
              <w:rPr>
                <w:sz w:val="20"/>
              </w:rPr>
              <w:t xml:space="preserve"> 2 Metalle (Cu/Zn) in Wasser </w:t>
            </w:r>
            <w:r w:rsidRPr="003B435C">
              <w:rPr>
                <w:sz w:val="20"/>
              </w:rPr>
              <w:sym w:font="Wingdings" w:char="F0E0"/>
            </w:r>
            <w:r w:rsidRPr="003B435C">
              <w:rPr>
                <w:sz w:val="20"/>
              </w:rPr>
              <w:t xml:space="preserve"> Nernst’sche Modellvorstellung</w:t>
            </w:r>
          </w:p>
          <w:p w14:paraId="3DC3B941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18A6D0BA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 xml:space="preserve">Quantitativer Vergleich der Metalle erfordert eine identische Anordnung und einen Bezugspunkt </w:t>
            </w:r>
            <w:r w:rsidRPr="003B435C">
              <w:rPr>
                <w:sz w:val="20"/>
              </w:rPr>
              <w:sym w:font="Wingdings" w:char="F0E0"/>
            </w:r>
            <w:r w:rsidRPr="003B435C">
              <w:rPr>
                <w:sz w:val="20"/>
              </w:rPr>
              <w:t xml:space="preserve"> Halbzellen, Standardwasserstoffhalbzelle</w:t>
            </w:r>
          </w:p>
          <w:p w14:paraId="52A22871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31F64BB9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0C3B56C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7F13D96E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lastRenderedPageBreak/>
              <w:t>Schüler-Low-Cost-Versuche zu galvanischen Zellen und Standardpotenzialen (Petrischalenversuche)</w:t>
            </w:r>
          </w:p>
          <w:p w14:paraId="37895210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2A1E0874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Argumentation über Verschiebungen der GG-Lagen an den Elektroden.</w:t>
            </w:r>
          </w:p>
          <w:p w14:paraId="5D371F68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0"/>
                <w:lang w:eastAsia="zh-CN"/>
              </w:rPr>
            </w:pPr>
          </w:p>
          <w:p w14:paraId="26BCCDBF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0"/>
                <w:lang w:eastAsia="zh-CN"/>
              </w:rPr>
            </w:pPr>
            <w:r w:rsidRPr="003B435C">
              <w:rPr>
                <w:rFonts w:eastAsia="SimSun"/>
                <w:sz w:val="20"/>
                <w:lang w:eastAsia="zh-CN"/>
              </w:rPr>
              <w:t>Objekträger-Versuch mit Low-Cost-Leitfähigkeitsprüfer</w:t>
            </w:r>
          </w:p>
          <w:p w14:paraId="342DE09E" w14:textId="77777777" w:rsidR="009371DA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5F0EEB22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GFS zu w</w:t>
            </w:r>
            <w:r w:rsidRPr="003B435C">
              <w:rPr>
                <w:sz w:val="20"/>
              </w:rPr>
              <w:t>ichtige</w:t>
            </w:r>
            <w:r>
              <w:rPr>
                <w:sz w:val="20"/>
              </w:rPr>
              <w:t>n technische Elektrolysen (</w:t>
            </w:r>
            <w:r w:rsidRPr="003B435C">
              <w:rPr>
                <w:sz w:val="20"/>
              </w:rPr>
              <w:t>Choralkalielektrolyse,</w:t>
            </w:r>
            <w:r>
              <w:rPr>
                <w:sz w:val="20"/>
              </w:rPr>
              <w:t xml:space="preserve"> Aluminiumgewinnung, Kupferraffination)</w:t>
            </w:r>
          </w:p>
          <w:p w14:paraId="5A5F5A1B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0"/>
                <w:lang w:eastAsia="zh-CN"/>
              </w:rPr>
            </w:pPr>
          </w:p>
          <w:p w14:paraId="1710A716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0"/>
                <w:lang w:eastAsia="zh-CN"/>
              </w:rPr>
            </w:pPr>
            <w:r>
              <w:rPr>
                <w:rFonts w:eastAsia="SimSun"/>
                <w:sz w:val="20"/>
                <w:lang w:eastAsia="zh-CN"/>
              </w:rPr>
              <w:t>Vertiefung:</w:t>
            </w:r>
          </w:p>
          <w:p w14:paraId="74E6B255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Messwerterfassung</w:t>
            </w:r>
          </w:p>
          <w:p w14:paraId="515461B0" w14:textId="77777777" w:rsidR="009371DA" w:rsidRPr="003B435C" w:rsidRDefault="009371DA" w:rsidP="009371DA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3B435C">
              <w:rPr>
                <w:sz w:val="20"/>
              </w:rPr>
              <w:t>Zersetzungsspannung: Strom-Spannungskurve</w:t>
            </w:r>
          </w:p>
          <w:p w14:paraId="2D346BB0" w14:textId="77777777" w:rsidR="009371DA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</w:p>
          <w:p w14:paraId="4F14151B" w14:textId="77777777" w:rsidR="009371DA" w:rsidRPr="006C276E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6C276E">
              <w:rPr>
                <w:sz w:val="20"/>
              </w:rPr>
              <w:t>Petrischalenexperiment, Elektrolyse von Wasser bei Einsatz verschiedener Elektrodenmaterialien (Platin,</w:t>
            </w:r>
            <w:r>
              <w:rPr>
                <w:sz w:val="20"/>
              </w:rPr>
              <w:t xml:space="preserve"> </w:t>
            </w:r>
            <w:r w:rsidRPr="006C276E">
              <w:rPr>
                <w:sz w:val="20"/>
              </w:rPr>
              <w:t>Kupfer, Kohle)</w:t>
            </w:r>
          </w:p>
          <w:p w14:paraId="507A824D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06E5A77B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  <w:p w14:paraId="3356D58D" w14:textId="77777777" w:rsidR="009371DA" w:rsidRPr="003B435C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imSun"/>
                <w:sz w:val="20"/>
                <w:lang w:eastAsia="zh-CN"/>
              </w:rPr>
            </w:pPr>
          </w:p>
          <w:p w14:paraId="254B6115" w14:textId="77777777" w:rsidR="009371DA" w:rsidRDefault="009371DA" w:rsidP="009371DA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B435C">
              <w:rPr>
                <w:iCs/>
                <w:sz w:val="20"/>
              </w:rPr>
              <w:t>Knopfzellen</w:t>
            </w:r>
            <w:r>
              <w:rPr>
                <w:iCs/>
                <w:sz w:val="20"/>
              </w:rPr>
              <w:t xml:space="preserve"> untersuchen (Zink-Luft-Batterie, Silberoxid-Batterie, Lithium-Batterie – Stationen-Praktikum)</w:t>
            </w:r>
          </w:p>
          <w:p w14:paraId="57D83AD2" w14:textId="77777777" w:rsidR="009371DA" w:rsidRDefault="009371DA" w:rsidP="009371DA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D555C1D" w14:textId="77777777" w:rsidR="009371DA" w:rsidRDefault="009371DA" w:rsidP="009371DA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Weitere Möglichkeiten: Methanol-Brennstoffzelle</w:t>
            </w:r>
            <w:r w:rsidRPr="003B435C">
              <w:rPr>
                <w:iCs/>
                <w:sz w:val="20"/>
              </w:rPr>
              <w:br/>
            </w:r>
            <w:r>
              <w:rPr>
                <w:iCs/>
                <w:sz w:val="20"/>
              </w:rPr>
              <w:t>Lithium-Ion-Akku, Redox-Flow-Stromspeicher, Power-to-gas</w:t>
            </w:r>
            <w:r>
              <w:rPr>
                <w:iCs/>
                <w:sz w:val="20"/>
              </w:rPr>
              <w:br/>
            </w:r>
          </w:p>
          <w:p w14:paraId="6EBB857F" w14:textId="77777777" w:rsidR="009371DA" w:rsidRDefault="009371DA" w:rsidP="009371DA">
            <w:pPr>
              <w:shd w:val="clear" w:color="auto" w:fill="FFFFFF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Weitere Mathematisierungsmöglichkeit:</w:t>
            </w:r>
          </w:p>
          <w:p w14:paraId="06BCC1FE" w14:textId="2AFD457C" w:rsidR="009371DA" w:rsidRPr="00583476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3B435C">
              <w:rPr>
                <w:sz w:val="20"/>
              </w:rPr>
              <w:t>Nernst’sche</w:t>
            </w:r>
            <w:r>
              <w:rPr>
                <w:sz w:val="20"/>
              </w:rPr>
              <w:t xml:space="preserve"> Gleichung</w:t>
            </w:r>
          </w:p>
        </w:tc>
      </w:tr>
    </w:tbl>
    <w:p w14:paraId="3A8EFA98" w14:textId="55A0CFF3" w:rsidR="007D477C" w:rsidRDefault="007D477C" w:rsidP="005136B6">
      <w:pPr>
        <w:spacing w:line="276" w:lineRule="auto"/>
        <w:rPr>
          <w:rFonts w:ascii="Arial" w:hAnsi="Arial" w:cs="Arial"/>
        </w:rPr>
      </w:pP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9371DA" w14:paraId="030B4013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34BC6230" w14:textId="72CF2C65" w:rsidR="009371DA" w:rsidRPr="00F23A9D" w:rsidRDefault="009371DA" w:rsidP="00D02B6A">
            <w:pPr>
              <w:tabs>
                <w:tab w:val="left" w:pos="2625"/>
                <w:tab w:val="center" w:pos="5559"/>
              </w:tabs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 xml:space="preserve">8. Orbitalmodell </w:t>
            </w:r>
            <w:r w:rsidR="005A7FB7">
              <w:rPr>
                <w:rFonts w:ascii="Arial" w:hAnsi="Arial" w:cs="Arial"/>
              </w:rPr>
              <w:t>und weiteres Thema</w:t>
            </w:r>
            <w:r w:rsidRPr="009371DA">
              <w:rPr>
                <w:rFonts w:ascii="Arial" w:hAnsi="Arial" w:cs="Arial"/>
                <w:b w:val="0"/>
                <w:bCs w:val="0"/>
              </w:rPr>
              <w:t>(nach dem schriftl. Abitur)</w:t>
            </w:r>
          </w:p>
        </w:tc>
        <w:tc>
          <w:tcPr>
            <w:tcW w:w="2942" w:type="dxa"/>
          </w:tcPr>
          <w:p w14:paraId="3A0F9671" w14:textId="77EEA388" w:rsidR="009371DA" w:rsidRPr="00D71CFF" w:rsidRDefault="009371DA" w:rsidP="00D02B6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F23A9D">
              <w:rPr>
                <w:rFonts w:ascii="Arial" w:hAnsi="Arial" w:cs="Arial"/>
                <w:b w:val="0"/>
              </w:rPr>
              <w:t>(ca</w:t>
            </w:r>
            <w:r>
              <w:rPr>
                <w:rFonts w:ascii="Arial" w:hAnsi="Arial" w:cs="Arial"/>
                <w:b w:val="0"/>
              </w:rPr>
              <w:t xml:space="preserve">. </w:t>
            </w:r>
            <w:r w:rsidR="005A7FB7">
              <w:rPr>
                <w:rFonts w:ascii="Arial" w:hAnsi="Arial" w:cs="Arial"/>
                <w:b w:val="0"/>
              </w:rPr>
              <w:t>20-30</w:t>
            </w:r>
            <w:r w:rsidR="00183BB1">
              <w:rPr>
                <w:rFonts w:ascii="Arial" w:hAnsi="Arial" w:cs="Arial"/>
                <w:b w:val="0"/>
              </w:rPr>
              <w:t xml:space="preserve"> </w:t>
            </w:r>
            <w:r w:rsidRPr="00F23A9D">
              <w:rPr>
                <w:rFonts w:ascii="Arial" w:hAnsi="Arial" w:cs="Arial"/>
                <w:b w:val="0"/>
              </w:rPr>
              <w:t>Stunden)</w:t>
            </w:r>
          </w:p>
        </w:tc>
      </w:tr>
    </w:tbl>
    <w:p w14:paraId="61A5D644" w14:textId="77777777" w:rsidR="009371DA" w:rsidRDefault="009371DA" w:rsidP="009371DA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7792"/>
        <w:gridCol w:w="146"/>
        <w:gridCol w:w="6339"/>
      </w:tblGrid>
      <w:tr w:rsidR="009371DA" w14:paraId="7CD4D48E" w14:textId="77777777" w:rsidTr="00D0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92" w:type="dxa"/>
            <w:tcBorders>
              <w:top w:val="nil"/>
              <w:left w:val="nil"/>
            </w:tcBorders>
          </w:tcPr>
          <w:p w14:paraId="3219E5D8" w14:textId="77777777" w:rsidR="009371DA" w:rsidRPr="00130357" w:rsidRDefault="009371DA" w:rsidP="00D02B6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130357">
              <w:rPr>
                <w:rFonts w:ascii="Arial" w:hAnsi="Arial" w:cs="Arial"/>
                <w:i/>
                <w:iCs/>
              </w:rPr>
              <w:t>Unterrichtsinhalte</w:t>
            </w:r>
          </w:p>
        </w:tc>
        <w:tc>
          <w:tcPr>
            <w:tcW w:w="6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3529B" w14:textId="77777777" w:rsidR="009371DA" w:rsidRPr="009371DA" w:rsidRDefault="009371DA" w:rsidP="00D02B6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71DA">
              <w:rPr>
                <w:rFonts w:ascii="Arial" w:hAnsi="Arial" w:cs="Arial"/>
              </w:rPr>
              <w:t>Hinweise/Ideen zur konkreten Umsetzung</w:t>
            </w:r>
          </w:p>
        </w:tc>
      </w:tr>
      <w:tr w:rsidR="009371DA" w14:paraId="751A6938" w14:textId="77777777" w:rsidTr="00D02B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gridSpan w:val="2"/>
            <w:tcBorders>
              <w:top w:val="nil"/>
            </w:tcBorders>
          </w:tcPr>
          <w:p w14:paraId="39E39F70" w14:textId="23D55B7D" w:rsidR="00DA1143" w:rsidRPr="005A7FB7" w:rsidRDefault="00DA1143" w:rsidP="009371DA">
            <w:pPr>
              <w:shd w:val="clear" w:color="auto" w:fill="FFFFFF"/>
              <w:spacing w:before="60"/>
              <w:ind w:right="204"/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</w:pPr>
            <w:r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Lininenspektrum Wasserstoffatom:</w:t>
            </w:r>
          </w:p>
          <w:p w14:paraId="364B6B6F" w14:textId="135EEF66" w:rsidR="006A4E77" w:rsidRPr="005A7FB7" w:rsidRDefault="00DA1143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 xml:space="preserve">Frequenzen der Spektrallinien ~ 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>1/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</w:rPr>
              <w:t>n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5"/>
                <w:szCs w:val="15"/>
                <w:vertAlign w:val="superscript"/>
              </w:rPr>
              <w:t>2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  <w:shd w:val="clear" w:color="auto" w:fill="FFFFFF"/>
              </w:rPr>
              <w:t xml:space="preserve"> - 1/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8"/>
                <w:szCs w:val="18"/>
              </w:rPr>
              <w:t>m</w:t>
            </w:r>
            <w:r w:rsidR="006A4E77" w:rsidRPr="005A7FB7">
              <w:rPr>
                <w:rFonts w:ascii="Arial" w:hAnsi="Arial" w:cs="Arial"/>
                <w:b w:val="0"/>
                <w:bCs w:val="0"/>
                <w:color w:val="333333"/>
                <w:sz w:val="15"/>
                <w:szCs w:val="15"/>
                <w:vertAlign w:val="superscript"/>
              </w:rPr>
              <w:t>2</w:t>
            </w:r>
          </w:p>
          <w:p w14:paraId="7F737290" w14:textId="7AE650E5" w:rsidR="009371DA" w:rsidRPr="005A7FB7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b w:val="0"/>
                <w:bCs w:val="0"/>
                <w:sz w:val="20"/>
              </w:rPr>
              <w:t>Welle-Teilchen-Dualismus (u.a. Doppelspaltversuch)</w:t>
            </w:r>
          </w:p>
          <w:p w14:paraId="0AFEEA5D" w14:textId="77777777" w:rsidR="009371DA" w:rsidRPr="005A7FB7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b w:val="0"/>
                <w:bCs w:val="0"/>
                <w:sz w:val="20"/>
              </w:rPr>
              <w:t xml:space="preserve">Beschreibung der Elektronen mittels Wellenmodell </w:t>
            </w:r>
          </w:p>
          <w:p w14:paraId="7071A290" w14:textId="77777777" w:rsidR="009371DA" w:rsidRPr="005A7FB7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b w:val="0"/>
                <w:bCs w:val="0"/>
                <w:sz w:val="20"/>
              </w:rPr>
              <w:t>Quantenzahlen Orbitalmodell</w:t>
            </w:r>
          </w:p>
          <w:p w14:paraId="527651AB" w14:textId="77777777" w:rsidR="009371DA" w:rsidRPr="005A7FB7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b w:val="0"/>
                <w:bCs w:val="0"/>
                <w:sz w:val="20"/>
              </w:rPr>
              <w:t xml:space="preserve">Molekülorbital-Modell </w:t>
            </w:r>
          </w:p>
          <w:p w14:paraId="6D88E511" w14:textId="77777777" w:rsidR="009371DA" w:rsidRPr="005A7FB7" w:rsidRDefault="009371DA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  <w:r w:rsidRPr="005A7FB7">
              <w:rPr>
                <w:b w:val="0"/>
                <w:bCs w:val="0"/>
                <w:sz w:val="20"/>
              </w:rPr>
              <w:t>Hybridisierung am Kohlenstoff-Atom</w:t>
            </w:r>
          </w:p>
          <w:p w14:paraId="26339C2B" w14:textId="77777777" w:rsidR="005A7FB7" w:rsidRPr="005A7FB7" w:rsidRDefault="005A7FB7" w:rsidP="009371DA">
            <w:pPr>
              <w:shd w:val="clear" w:color="auto" w:fill="FFFFFF"/>
              <w:spacing w:before="60"/>
              <w:ind w:right="204"/>
              <w:rPr>
                <w:b w:val="0"/>
                <w:bCs w:val="0"/>
                <w:sz w:val="20"/>
              </w:rPr>
            </w:pPr>
          </w:p>
          <w:p w14:paraId="730ACAED" w14:textId="2C8F59C0" w:rsidR="005A7FB7" w:rsidRPr="005A7FB7" w:rsidRDefault="005A7FB7" w:rsidP="005A7FB7">
            <w:pPr>
              <w:rPr>
                <w:i/>
                <w:iCs/>
              </w:rPr>
            </w:pPr>
            <w:r w:rsidRPr="005A7FB7">
              <w:rPr>
                <w:b w:val="0"/>
                <w:bCs w:val="0"/>
                <w:sz w:val="20"/>
                <w:szCs w:val="18"/>
              </w:rPr>
              <w:lastRenderedPageBreak/>
              <w:t>einer ausgewählten Stoffgruppe aus wissenschaftshistorischer, aktueller und zukunftsorientierter Perspektive erläutern (zum Beispiel Farbstoffe, Waschmittel, Pharmazeutika, Nanomaterialien, Komplexverbindungen, Silikone)</w:t>
            </w:r>
          </w:p>
        </w:tc>
        <w:tc>
          <w:tcPr>
            <w:tcW w:w="6339" w:type="dxa"/>
            <w:tcBorders>
              <w:top w:val="nil"/>
            </w:tcBorders>
          </w:tcPr>
          <w:p w14:paraId="121926DE" w14:textId="575E17AA" w:rsidR="009371DA" w:rsidRPr="00816819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16819">
              <w:rPr>
                <w:iCs/>
                <w:sz w:val="20"/>
              </w:rPr>
              <w:lastRenderedPageBreak/>
              <w:t>Praktikum: Flammenfärbung und Linienspektren</w:t>
            </w:r>
          </w:p>
          <w:p w14:paraId="69F4C778" w14:textId="77777777" w:rsidR="009371DA" w:rsidRPr="00816819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16819">
              <w:rPr>
                <w:iCs/>
                <w:sz w:val="20"/>
              </w:rPr>
              <w:t>Veranschaulichung über stehende Wellen, Trommelfelle…</w:t>
            </w:r>
          </w:p>
          <w:p w14:paraId="6E9548F7" w14:textId="77777777" w:rsidR="009371DA" w:rsidRPr="00816819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701D2E07" w14:textId="77777777" w:rsidR="009371DA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 w:rsidRPr="00816819">
              <w:rPr>
                <w:iCs/>
                <w:sz w:val="20"/>
              </w:rPr>
              <w:t>Sauerstoff-Moleküle als Diradikal</w:t>
            </w:r>
          </w:p>
          <w:p w14:paraId="3408EC23" w14:textId="77777777" w:rsidR="009371DA" w:rsidRDefault="009371DA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t>Sp</w:t>
            </w:r>
            <w:r>
              <w:rPr>
                <w:iCs/>
                <w:sz w:val="20"/>
                <w:vertAlign w:val="superscript"/>
              </w:rPr>
              <w:t>3</w:t>
            </w:r>
            <w:r>
              <w:rPr>
                <w:iCs/>
                <w:sz w:val="20"/>
              </w:rPr>
              <w:t>-, sp</w:t>
            </w:r>
            <w:r>
              <w:rPr>
                <w:iCs/>
                <w:sz w:val="20"/>
                <w:vertAlign w:val="superscript"/>
              </w:rPr>
              <w:t>2</w:t>
            </w:r>
            <w:r>
              <w:rPr>
                <w:iCs/>
                <w:sz w:val="20"/>
              </w:rPr>
              <w:t>-, sp- Hybridisierung, delokalisierte π-Bindungssysteme</w:t>
            </w:r>
          </w:p>
          <w:p w14:paraId="228B3F67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14A9CD9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CD3052A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1197DB19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36BD30E9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07B4DFEF" w14:textId="77777777" w:rsidR="005A7FB7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</w:p>
          <w:p w14:paraId="20C9B466" w14:textId="2565CDED" w:rsidR="005A7FB7" w:rsidRPr="00583476" w:rsidRDefault="005A7FB7" w:rsidP="009371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 xml:space="preserve">z.B. delokalisierte </w:t>
            </w:r>
            <w:r>
              <w:rPr>
                <w:rFonts w:cs="Times New Roman"/>
                <w:iCs/>
                <w:sz w:val="20"/>
              </w:rPr>
              <w:t>π</w:t>
            </w:r>
            <w:r>
              <w:rPr>
                <w:iCs/>
                <w:sz w:val="20"/>
              </w:rPr>
              <w:t>-Elektronensystem bei Farbstoffen</w:t>
            </w:r>
            <w:r>
              <w:rPr>
                <w:iCs/>
                <w:sz w:val="20"/>
              </w:rPr>
              <w:br/>
              <w:t>Indigo-Synthese (BASF-Oberstufenlabor), Färben mit Indigo</w:t>
            </w:r>
          </w:p>
        </w:tc>
      </w:tr>
    </w:tbl>
    <w:p w14:paraId="15568F19" w14:textId="72E5A982" w:rsidR="009371DA" w:rsidRDefault="009371DA" w:rsidP="005136B6">
      <w:pPr>
        <w:spacing w:line="276" w:lineRule="auto"/>
        <w:rPr>
          <w:rFonts w:ascii="Arial" w:hAnsi="Arial" w:cs="Arial"/>
        </w:rPr>
      </w:pPr>
    </w:p>
    <w:p w14:paraId="5B5F5C3B" w14:textId="77777777" w:rsidR="002D3117" w:rsidRDefault="002D3117" w:rsidP="005136B6">
      <w:pPr>
        <w:spacing w:line="276" w:lineRule="auto"/>
        <w:rPr>
          <w:rFonts w:ascii="Arial" w:hAnsi="Arial" w:cs="Arial"/>
        </w:rPr>
      </w:pPr>
    </w:p>
    <w:p w14:paraId="04BCF238" w14:textId="77777777" w:rsidR="002D3117" w:rsidRDefault="002D3117" w:rsidP="005136B6">
      <w:pPr>
        <w:spacing w:line="276" w:lineRule="auto"/>
        <w:rPr>
          <w:rFonts w:ascii="Arial" w:hAnsi="Arial" w:cs="Arial"/>
        </w:rPr>
      </w:pPr>
    </w:p>
    <w:p w14:paraId="6FA4C5D4" w14:textId="640701D1" w:rsidR="002D3117" w:rsidRPr="00AC2A56" w:rsidRDefault="002F2BE7" w:rsidP="005136B6">
      <w:pPr>
        <w:spacing w:line="276" w:lineRule="auto"/>
        <w:rPr>
          <w:rFonts w:ascii="Arial" w:hAnsi="Arial" w:cs="Arial"/>
          <w:u w:val="single"/>
        </w:rPr>
      </w:pPr>
      <w:r w:rsidRPr="00AC2A56">
        <w:rPr>
          <w:rFonts w:ascii="Arial" w:hAnsi="Arial" w:cs="Arial"/>
          <w:u w:val="single"/>
        </w:rPr>
        <w:t>Grundlagen</w:t>
      </w:r>
      <w:r w:rsidR="002D3117" w:rsidRPr="00AC2A56">
        <w:rPr>
          <w:rFonts w:ascii="Arial" w:hAnsi="Arial" w:cs="Arial"/>
          <w:u w:val="single"/>
        </w:rPr>
        <w:t xml:space="preserve"> zu den Stundenangaben:</w:t>
      </w:r>
    </w:p>
    <w:p w14:paraId="55AE84B4" w14:textId="2325E1E8" w:rsidR="002D3117" w:rsidRPr="002D3117" w:rsidRDefault="002D3117" w:rsidP="002F2BE7">
      <w:pPr>
        <w:spacing w:line="276" w:lineRule="auto"/>
        <w:rPr>
          <w:rFonts w:ascii="Arial" w:hAnsi="Arial" w:cs="Arial"/>
        </w:rPr>
      </w:pPr>
    </w:p>
    <w:p w14:paraId="00A07E3F" w14:textId="77777777" w:rsidR="002F2BE7" w:rsidRPr="002F2BE7" w:rsidRDefault="002F2BE7" w:rsidP="002F2BE7">
      <w:pPr>
        <w:pStyle w:val="Listenabsatz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2F2BE7">
        <w:rPr>
          <w:rFonts w:ascii="Arial" w:hAnsi="Arial" w:cs="Arial"/>
        </w:rPr>
        <w:t>Ei</w:t>
      </w:r>
      <w:r w:rsidR="002D3117" w:rsidRPr="002F2BE7">
        <w:rPr>
          <w:rFonts w:ascii="Arial" w:hAnsi="Arial" w:cs="Arial"/>
        </w:rPr>
        <w:t xml:space="preserve">n Schuljahr </w:t>
      </w:r>
      <w:r w:rsidR="002D3117" w:rsidRPr="002F2BE7">
        <w:rPr>
          <w:rFonts w:ascii="Cambria Math" w:hAnsi="Cambria Math" w:cs="Cambria Math"/>
        </w:rPr>
        <w:t>≙</w:t>
      </w:r>
      <w:r w:rsidR="002D3117" w:rsidRPr="002F2BE7">
        <w:rPr>
          <w:rFonts w:ascii="Arial" w:hAnsi="Arial" w:cs="Arial"/>
        </w:rPr>
        <w:t xml:space="preserve"> 36 Wochen</w:t>
      </w:r>
      <w:r w:rsidRPr="002F2BE7">
        <w:rPr>
          <w:rFonts w:ascii="Arial" w:hAnsi="Arial" w:cs="Arial"/>
        </w:rPr>
        <w:t>, wobei das</w:t>
      </w:r>
      <w:r w:rsidR="002D3117" w:rsidRPr="002F2BE7">
        <w:rPr>
          <w:rFonts w:ascii="Arial" w:hAnsi="Arial" w:cs="Arial"/>
        </w:rPr>
        <w:t xml:space="preserve"> Abschlussjahr deutlich kürz</w:t>
      </w:r>
      <w:r w:rsidRPr="002F2BE7">
        <w:rPr>
          <w:rFonts w:ascii="Arial" w:hAnsi="Arial" w:cs="Arial"/>
        </w:rPr>
        <w:t xml:space="preserve"> ist.</w:t>
      </w:r>
    </w:p>
    <w:p w14:paraId="2987D7CA" w14:textId="2752EDF9" w:rsidR="002F2BE7" w:rsidRPr="002F2BE7" w:rsidRDefault="00183BB1" w:rsidP="002F2BE7">
      <w:pPr>
        <w:pStyle w:val="Listenabsatz"/>
        <w:numPr>
          <w:ilvl w:val="0"/>
          <w:numId w:val="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Bei der Planung wurden</w:t>
      </w:r>
      <w:r w:rsidR="002D3117" w:rsidRPr="002F2BE7">
        <w:rPr>
          <w:rFonts w:ascii="Arial" w:hAnsi="Arial" w:cs="Arial"/>
        </w:rPr>
        <w:t xml:space="preserve"> daher 66 Wochen </w:t>
      </w:r>
      <w:r w:rsidR="002F2BE7" w:rsidRPr="002F2BE7">
        <w:rPr>
          <w:rFonts w:ascii="Arial" w:hAnsi="Arial" w:cs="Arial"/>
        </w:rPr>
        <w:t>veranschlagt.</w:t>
      </w:r>
    </w:p>
    <w:p w14:paraId="6078A77D" w14:textId="6D0E1D41" w:rsidR="002F2BE7" w:rsidRDefault="002F2BE7" w:rsidP="002F2BE7">
      <w:pPr>
        <w:pStyle w:val="Listenabsatz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2F2BE7">
        <w:rPr>
          <w:rFonts w:ascii="Arial" w:hAnsi="Arial" w:cs="Arial"/>
        </w:rPr>
        <w:t>Der Bildungsplan 2016 wurde für einen 4-stündige</w:t>
      </w:r>
      <w:r w:rsidR="00D02B6A">
        <w:rPr>
          <w:rFonts w:ascii="Arial" w:hAnsi="Arial" w:cs="Arial"/>
        </w:rPr>
        <w:t>n Profil-/Neigungsk</w:t>
      </w:r>
      <w:r w:rsidRPr="002F2BE7">
        <w:rPr>
          <w:rFonts w:ascii="Arial" w:hAnsi="Arial" w:cs="Arial"/>
        </w:rPr>
        <w:t xml:space="preserve">urs </w:t>
      </w:r>
      <w:r>
        <w:rPr>
          <w:rFonts w:ascii="Arial" w:hAnsi="Arial" w:cs="Arial"/>
        </w:rPr>
        <w:t>formuliert. D</w:t>
      </w:r>
      <w:r w:rsidRPr="002F2BE7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beschriebene </w:t>
      </w:r>
      <w:r w:rsidRPr="002F2BE7">
        <w:rPr>
          <w:rFonts w:ascii="Arial" w:hAnsi="Arial" w:cs="Arial"/>
        </w:rPr>
        <w:t xml:space="preserve">Kerncurriculum </w:t>
      </w:r>
      <w:r w:rsidR="00D02B6A">
        <w:rPr>
          <w:rFonts w:ascii="Arial" w:hAnsi="Arial" w:cs="Arial"/>
        </w:rPr>
        <w:t>wurde dabe für</w:t>
      </w:r>
      <w:r>
        <w:rPr>
          <w:rFonts w:ascii="Arial" w:hAnsi="Arial" w:cs="Arial"/>
        </w:rPr>
        <w:t xml:space="preserve"> </w:t>
      </w:r>
      <w:r w:rsidRPr="002F2BE7">
        <w:rPr>
          <w:rFonts w:ascii="Arial" w:hAnsi="Arial" w:cs="Arial"/>
        </w:rPr>
        <w:t xml:space="preserve">¾ der </w:t>
      </w:r>
      <w:r>
        <w:rPr>
          <w:rFonts w:ascii="Arial" w:hAnsi="Arial" w:cs="Arial"/>
        </w:rPr>
        <w:t>Unterrichtszeit konzipiert.</w:t>
      </w:r>
      <w:r w:rsidR="00D02B6A">
        <w:rPr>
          <w:rFonts w:ascii="Arial" w:hAnsi="Arial" w:cs="Arial"/>
        </w:rPr>
        <w:t xml:space="preserve"> </w:t>
      </w:r>
    </w:p>
    <w:p w14:paraId="6B7E2EBB" w14:textId="6E2E45C8" w:rsidR="00D02B6A" w:rsidRDefault="00D02B6A" w:rsidP="006B7912">
      <w:pPr>
        <w:pStyle w:val="Listenabsatz"/>
        <w:numPr>
          <w:ilvl w:val="0"/>
          <w:numId w:val="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Für weitere fachliche Vertiefungen</w:t>
      </w:r>
      <w:r w:rsidR="002E18D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Diagnose, Klausuren, Üben und Wiederholen stehen nochmals ¼ der ursprünglichen Zeit, sowie eine Wochenstunde aufgrund der Anpassung zum 5-stündigen Leistungskurs zur Verfügung.</w:t>
      </w:r>
    </w:p>
    <w:p w14:paraId="4F7A284F" w14:textId="426D181B" w:rsidR="006B7912" w:rsidRDefault="006B7912" w:rsidP="006B7912">
      <w:pPr>
        <w:spacing w:line="276" w:lineRule="auto"/>
        <w:rPr>
          <w:rFonts w:ascii="Arial" w:hAnsi="Arial" w:cs="Arial"/>
        </w:rPr>
      </w:pPr>
    </w:p>
    <w:p w14:paraId="7EB17536" w14:textId="00380A63" w:rsidR="002E18DF" w:rsidRDefault="006B7912" w:rsidP="006B791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Insgesamt stehen somit ca. 330 Unterrichtsstunden zur Verfügung, wobei</w:t>
      </w:r>
      <w:r>
        <w:rPr>
          <w:rFonts w:ascii="Arial" w:hAnsi="Arial" w:cs="Arial"/>
        </w:rPr>
        <w:t xml:space="preserve"> das Kerncurriculum </w:t>
      </w:r>
      <w:r>
        <w:rPr>
          <w:rFonts w:ascii="Arial" w:hAnsi="Arial" w:cs="Arial"/>
        </w:rPr>
        <w:t>mindestens</w:t>
      </w:r>
      <w:r>
        <w:rPr>
          <w:rFonts w:ascii="Arial" w:hAnsi="Arial" w:cs="Arial"/>
        </w:rPr>
        <w:t xml:space="preserve"> 200 Unterrichtsstunden</w:t>
      </w:r>
      <w:r>
        <w:rPr>
          <w:rFonts w:ascii="Arial" w:hAnsi="Arial" w:cs="Arial"/>
        </w:rPr>
        <w:t xml:space="preserve"> umfasst.</w:t>
      </w:r>
      <w:r>
        <w:rPr>
          <w:rFonts w:ascii="Arial" w:hAnsi="Arial" w:cs="Arial"/>
        </w:rPr>
        <w:t xml:space="preserve"> </w:t>
      </w:r>
      <w:r w:rsidR="00AC2A56">
        <w:rPr>
          <w:rFonts w:ascii="Arial" w:hAnsi="Arial" w:cs="Arial"/>
        </w:rPr>
        <w:t xml:space="preserve">Bei der zeitlichen Planung ist weiter zu Berücksichtigen, dass die Themengebiete 1 bis 7 für das schriftliche Abitur relevant sind, während das Themengebiet 8 voraussichtlich über den „Schwerpunktthemen-Erlass“ ausgeklammert wird. </w:t>
      </w:r>
      <w:r w:rsidR="009807E8">
        <w:rPr>
          <w:rFonts w:ascii="Arial" w:hAnsi="Arial" w:cs="Arial"/>
        </w:rPr>
        <w:t xml:space="preserve">Außerdem ist zu beachten, dass alle Kursteilnehmer/innen die schriftliche Abiturprüfung in Chemie ablegen müssen. Es empfiehlt sich daher die Themengebiete 1 bis 7 bis Ende Februar bzw. Anfang März </w:t>
      </w:r>
      <w:r w:rsidR="002E18DF">
        <w:rPr>
          <w:rFonts w:ascii="Arial" w:hAnsi="Arial" w:cs="Arial"/>
        </w:rPr>
        <w:t xml:space="preserve">des Abiturjahres </w:t>
      </w:r>
      <w:r w:rsidR="009807E8">
        <w:rPr>
          <w:rFonts w:ascii="Arial" w:hAnsi="Arial" w:cs="Arial"/>
        </w:rPr>
        <w:t>behandelt zu haben</w:t>
      </w:r>
      <w:r w:rsidR="002E18DF">
        <w:rPr>
          <w:rFonts w:ascii="Arial" w:hAnsi="Arial" w:cs="Arial"/>
        </w:rPr>
        <w:t xml:space="preserve">. Somit beleibt </w:t>
      </w:r>
      <w:r w:rsidR="009807E8">
        <w:rPr>
          <w:rFonts w:ascii="Arial" w:hAnsi="Arial" w:cs="Arial"/>
        </w:rPr>
        <w:t>Zeit für eine abschließende Abiturvorbereitung</w:t>
      </w:r>
      <w:r w:rsidR="002E18DF">
        <w:rPr>
          <w:rFonts w:ascii="Arial" w:hAnsi="Arial" w:cs="Arial"/>
        </w:rPr>
        <w:t>.</w:t>
      </w:r>
    </w:p>
    <w:p w14:paraId="00F32DD8" w14:textId="0C325B97" w:rsidR="002E18DF" w:rsidRDefault="002E18DF" w:rsidP="006B7912">
      <w:pPr>
        <w:spacing w:line="276" w:lineRule="auto"/>
        <w:rPr>
          <w:rFonts w:ascii="Arial" w:hAnsi="Arial" w:cs="Arial"/>
        </w:rPr>
      </w:pPr>
    </w:p>
    <w:p w14:paraId="02F0607A" w14:textId="7419479A" w:rsidR="002E18DF" w:rsidRDefault="005A7FB7" w:rsidP="006B791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Der</w:t>
      </w:r>
      <w:r w:rsidR="002E18DF">
        <w:rPr>
          <w:rFonts w:ascii="Arial" w:hAnsi="Arial" w:cs="Arial"/>
        </w:rPr>
        <w:t xml:space="preserve"> </w:t>
      </w:r>
      <w:r w:rsidR="00183BB1">
        <w:rPr>
          <w:rFonts w:ascii="Arial" w:hAnsi="Arial" w:cs="Arial"/>
        </w:rPr>
        <w:t>kleinere</w:t>
      </w:r>
      <w:r w:rsidR="002E18DF">
        <w:rPr>
          <w:rFonts w:ascii="Arial" w:hAnsi="Arial" w:cs="Arial"/>
        </w:rPr>
        <w:t xml:space="preserve"> </w:t>
      </w:r>
      <w:r w:rsidR="00183BB1">
        <w:rPr>
          <w:rFonts w:ascii="Arial" w:hAnsi="Arial" w:cs="Arial"/>
        </w:rPr>
        <w:t>Richtwert</w:t>
      </w:r>
      <w:r w:rsidR="002E18DF">
        <w:rPr>
          <w:rFonts w:ascii="Arial" w:hAnsi="Arial" w:cs="Arial"/>
        </w:rPr>
        <w:t xml:space="preserve"> </w:t>
      </w:r>
      <w:r w:rsidR="00183BB1">
        <w:rPr>
          <w:rFonts w:ascii="Arial" w:hAnsi="Arial" w:cs="Arial"/>
        </w:rPr>
        <w:t xml:space="preserve">orientiert sich an der Stundenzahl 200 (nur Kerncurriculum). </w:t>
      </w:r>
      <w:r>
        <w:rPr>
          <w:rFonts w:ascii="Arial" w:hAnsi="Arial" w:cs="Arial"/>
        </w:rPr>
        <w:t>Der</w:t>
      </w:r>
      <w:r w:rsidR="00183BB1">
        <w:rPr>
          <w:rFonts w:ascii="Arial" w:hAnsi="Arial" w:cs="Arial"/>
        </w:rPr>
        <w:t xml:space="preserve"> größere Richtwert orientiert sich an den</w:t>
      </w:r>
      <w:r>
        <w:rPr>
          <w:rFonts w:ascii="Arial" w:hAnsi="Arial" w:cs="Arial"/>
        </w:rPr>
        <w:t xml:space="preserve"> bis Ende Februar</w:t>
      </w:r>
      <w:r w:rsidR="00183BB1">
        <w:rPr>
          <w:rFonts w:ascii="Arial" w:hAnsi="Arial" w:cs="Arial"/>
        </w:rPr>
        <w:t xml:space="preserve"> zur Verfügung stehenden </w:t>
      </w:r>
      <w:r>
        <w:rPr>
          <w:rFonts w:ascii="Arial" w:hAnsi="Arial" w:cs="Arial"/>
        </w:rPr>
        <w:t>Unterrich</w:t>
      </w:r>
      <w:r w:rsidR="00183BB1">
        <w:rPr>
          <w:rFonts w:ascii="Arial" w:hAnsi="Arial" w:cs="Arial"/>
        </w:rPr>
        <w:t>t</w:t>
      </w:r>
      <w:r>
        <w:rPr>
          <w:rFonts w:ascii="Arial" w:hAnsi="Arial" w:cs="Arial"/>
        </w:rPr>
        <w:t>sst</w:t>
      </w:r>
      <w:r w:rsidR="00183BB1">
        <w:rPr>
          <w:rFonts w:ascii="Arial" w:hAnsi="Arial" w:cs="Arial"/>
        </w:rPr>
        <w:t>unden</w:t>
      </w:r>
      <w:r>
        <w:rPr>
          <w:rFonts w:ascii="Arial" w:hAnsi="Arial" w:cs="Arial"/>
        </w:rPr>
        <w:t xml:space="preserve"> (ca. 290).</w:t>
      </w:r>
    </w:p>
    <w:p w14:paraId="18F73E97" w14:textId="08DCDAA8" w:rsidR="00183BB1" w:rsidRDefault="00183BB1" w:rsidP="006B7912">
      <w:pPr>
        <w:spacing w:line="276" w:lineRule="auto"/>
        <w:rPr>
          <w:rFonts w:ascii="Arial" w:hAnsi="Arial" w:cs="Arial"/>
        </w:rPr>
      </w:pPr>
    </w:p>
    <w:p w14:paraId="1BBD0E50" w14:textId="77777777" w:rsidR="005A7FB7" w:rsidRDefault="005A7FB7" w:rsidP="006B7912">
      <w:pPr>
        <w:spacing w:line="276" w:lineRule="auto"/>
        <w:rPr>
          <w:rFonts w:ascii="Arial" w:hAnsi="Arial" w:cs="Arial"/>
        </w:rPr>
      </w:pPr>
    </w:p>
    <w:p w14:paraId="5AECE259" w14:textId="77777777" w:rsidR="002E18DF" w:rsidRDefault="002E18DF" w:rsidP="006B7912">
      <w:pPr>
        <w:spacing w:line="276" w:lineRule="auto"/>
        <w:rPr>
          <w:rFonts w:ascii="Arial" w:hAnsi="Arial" w:cs="Arial"/>
        </w:rPr>
      </w:pPr>
    </w:p>
    <w:p w14:paraId="7ADC556E" w14:textId="78EA9897" w:rsidR="006B7912" w:rsidRPr="006B7912" w:rsidRDefault="006B7912" w:rsidP="006B7912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</w:p>
    <w:sectPr w:rsidR="006B7912" w:rsidRPr="006B7912" w:rsidSect="00F23A9D">
      <w:footerReference w:type="default" r:id="rId10"/>
      <w:pgSz w:w="16838" w:h="11906" w:orient="landscape"/>
      <w:pgMar w:top="284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73E40" w14:textId="77777777" w:rsidR="00A91E6E" w:rsidRDefault="00A91E6E" w:rsidP="00D71CFF">
      <w:r>
        <w:separator/>
      </w:r>
    </w:p>
  </w:endnote>
  <w:endnote w:type="continuationSeparator" w:id="0">
    <w:p w14:paraId="023EFAE5" w14:textId="77777777" w:rsidR="00A91E6E" w:rsidRDefault="00A91E6E" w:rsidP="00D7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7DFB6" w14:textId="29F05F03" w:rsidR="00D02B6A" w:rsidRDefault="00D02B6A" w:rsidP="00D71CFF">
    <w:pPr>
      <w:pStyle w:val="Fuzeile"/>
      <w:jc w:val="center"/>
    </w:pPr>
    <w:r>
      <w:rPr>
        <w:lang w:eastAsia="de-DE"/>
      </w:rPr>
      <w:drawing>
        <wp:inline distT="0" distB="0" distL="0" distR="0" wp14:anchorId="0579BE2D" wp14:editId="2A816DC9">
          <wp:extent cx="360544" cy="382717"/>
          <wp:effectExtent l="0" t="0" r="1905" b="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632" cy="400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CD170" w14:textId="77777777" w:rsidR="00A91E6E" w:rsidRDefault="00A91E6E" w:rsidP="00D71CFF">
      <w:r>
        <w:separator/>
      </w:r>
    </w:p>
  </w:footnote>
  <w:footnote w:type="continuationSeparator" w:id="0">
    <w:p w14:paraId="2162ABBF" w14:textId="77777777" w:rsidR="00A91E6E" w:rsidRDefault="00A91E6E" w:rsidP="00D71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86E0F"/>
    <w:multiLevelType w:val="hybridMultilevel"/>
    <w:tmpl w:val="CDC24080"/>
    <w:lvl w:ilvl="0" w:tplc="8DFEC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3658"/>
    <w:multiLevelType w:val="hybridMultilevel"/>
    <w:tmpl w:val="A918748E"/>
    <w:lvl w:ilvl="0" w:tplc="278E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5023D"/>
    <w:multiLevelType w:val="hybridMultilevel"/>
    <w:tmpl w:val="01160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E41B3"/>
    <w:multiLevelType w:val="multilevel"/>
    <w:tmpl w:val="4F1C7D4C"/>
    <w:lvl w:ilvl="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EB81CD3"/>
    <w:multiLevelType w:val="hybridMultilevel"/>
    <w:tmpl w:val="1A7A2C6A"/>
    <w:lvl w:ilvl="0" w:tplc="C008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F4E95"/>
    <w:multiLevelType w:val="hybridMultilevel"/>
    <w:tmpl w:val="6C1615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C2E66"/>
    <w:multiLevelType w:val="hybridMultilevel"/>
    <w:tmpl w:val="E3DE6A38"/>
    <w:lvl w:ilvl="0" w:tplc="9B2C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68D"/>
    <w:rsid w:val="00002F7B"/>
    <w:rsid w:val="00130357"/>
    <w:rsid w:val="00183BB1"/>
    <w:rsid w:val="001B47CF"/>
    <w:rsid w:val="00256306"/>
    <w:rsid w:val="00280CB3"/>
    <w:rsid w:val="002D3117"/>
    <w:rsid w:val="002E18DF"/>
    <w:rsid w:val="002F2BE7"/>
    <w:rsid w:val="0047724B"/>
    <w:rsid w:val="004E1474"/>
    <w:rsid w:val="005136B6"/>
    <w:rsid w:val="005475B6"/>
    <w:rsid w:val="00583476"/>
    <w:rsid w:val="005A67AF"/>
    <w:rsid w:val="005A7FB7"/>
    <w:rsid w:val="005B33DF"/>
    <w:rsid w:val="00631FC5"/>
    <w:rsid w:val="00687EB2"/>
    <w:rsid w:val="006929EE"/>
    <w:rsid w:val="006A4E77"/>
    <w:rsid w:val="006B35F8"/>
    <w:rsid w:val="006B7912"/>
    <w:rsid w:val="007002C0"/>
    <w:rsid w:val="00792B6C"/>
    <w:rsid w:val="007D477C"/>
    <w:rsid w:val="00935A40"/>
    <w:rsid w:val="009371DA"/>
    <w:rsid w:val="009807E8"/>
    <w:rsid w:val="00A279DE"/>
    <w:rsid w:val="00A91E6E"/>
    <w:rsid w:val="00AC2A56"/>
    <w:rsid w:val="00B2268D"/>
    <w:rsid w:val="00B428C4"/>
    <w:rsid w:val="00C06D32"/>
    <w:rsid w:val="00D02B6A"/>
    <w:rsid w:val="00D267D5"/>
    <w:rsid w:val="00D30D6F"/>
    <w:rsid w:val="00D71CFF"/>
    <w:rsid w:val="00DA1143"/>
    <w:rsid w:val="00EF604C"/>
    <w:rsid w:val="00F23A9D"/>
    <w:rsid w:val="00F40DFC"/>
    <w:rsid w:val="00F45F52"/>
    <w:rsid w:val="00F7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6FA"/>
  <w15:chartTrackingRefBased/>
  <w15:docId w15:val="{B9CC68D1-D5A8-4839-A008-1C7C620E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33DF"/>
    <w:pPr>
      <w:jc w:val="left"/>
    </w:pPr>
    <w:rPr>
      <w:rFonts w:ascii="Times New Roman" w:hAnsi="Times New Roman"/>
      <w:noProof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Listenabsatz"/>
    <w:link w:val="Formatvorlage1Zchn"/>
    <w:autoRedefine/>
    <w:rsid w:val="00B428C4"/>
    <w:pPr>
      <w:numPr>
        <w:numId w:val="6"/>
      </w:numPr>
      <w:ind w:left="357" w:hanging="357"/>
    </w:pPr>
  </w:style>
  <w:style w:type="character" w:customStyle="1" w:styleId="Formatvorlage1Zchn">
    <w:name w:val="Formatvorlage1 Zchn"/>
    <w:basedOn w:val="Absatz-Standardschriftart"/>
    <w:link w:val="Formatvorlage1"/>
    <w:rsid w:val="00B428C4"/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5B33DF"/>
    <w:pPr>
      <w:ind w:left="720"/>
      <w:contextualSpacing/>
    </w:pPr>
  </w:style>
  <w:style w:type="paragraph" w:customStyle="1" w:styleId="berschriftCurriculum">
    <w:name w:val="Überschrift Curriculum"/>
    <w:basedOn w:val="Standard"/>
    <w:link w:val="berschriftCurriculumZchn"/>
    <w:qFormat/>
    <w:rsid w:val="00792B6C"/>
    <w:rPr>
      <w:rFonts w:ascii="Arial" w:hAnsi="Arial"/>
      <w:sz w:val="32"/>
    </w:rPr>
  </w:style>
  <w:style w:type="character" w:customStyle="1" w:styleId="berschriftCurriculumZchn">
    <w:name w:val="Überschrift Curriculum Zchn"/>
    <w:basedOn w:val="Absatz-Standardschriftart"/>
    <w:link w:val="berschriftCurriculum"/>
    <w:rsid w:val="00792B6C"/>
    <w:rPr>
      <w:rFonts w:ascii="Arial" w:hAnsi="Arial"/>
      <w:sz w:val="32"/>
    </w:rPr>
  </w:style>
  <w:style w:type="table" w:styleId="Tabellenraster">
    <w:name w:val="Table Grid"/>
    <w:basedOn w:val="NormaleTabelle"/>
    <w:uiPriority w:val="39"/>
    <w:rsid w:val="00A27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3Akzent1">
    <w:name w:val="List Table 3 Accent 1"/>
    <w:basedOn w:val="NormaleTabelle"/>
    <w:uiPriority w:val="48"/>
    <w:rsid w:val="00D267D5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D267D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4Akzent1">
    <w:name w:val="List Table 4 Accent 1"/>
    <w:basedOn w:val="NormaleTabelle"/>
    <w:uiPriority w:val="49"/>
    <w:rsid w:val="00D267D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71C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1CFF"/>
    <w:rPr>
      <w:rFonts w:ascii="Times New Roman" w:hAnsi="Times New Roman"/>
      <w:noProof/>
      <w:sz w:val="24"/>
    </w:rPr>
  </w:style>
  <w:style w:type="paragraph" w:styleId="Fuzeile">
    <w:name w:val="footer"/>
    <w:basedOn w:val="Standard"/>
    <w:link w:val="FuzeileZchn"/>
    <w:uiPriority w:val="99"/>
    <w:unhideWhenUsed/>
    <w:rsid w:val="00D71C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1CFF"/>
    <w:rPr>
      <w:rFonts w:ascii="Times New Roman" w:hAnsi="Times New Roman"/>
      <w:noProof/>
      <w:sz w:val="24"/>
    </w:rPr>
  </w:style>
  <w:style w:type="table" w:styleId="Listentabelle3Akzent6">
    <w:name w:val="List Table 3 Accent 6"/>
    <w:basedOn w:val="NormaleTabelle"/>
    <w:uiPriority w:val="48"/>
    <w:rsid w:val="00D71CFF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character" w:styleId="Hyperlink">
    <w:name w:val="Hyperlink"/>
    <w:basedOn w:val="Absatz-Standardschriftart"/>
    <w:unhideWhenUsed/>
    <w:rsid w:val="00583476"/>
    <w:rPr>
      <w:color w:val="0563C1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rsid w:val="00280CB3"/>
    <w:rPr>
      <w:rFonts w:ascii="Arial" w:hAnsi="Arial" w:cs="Arial"/>
      <w:iCs/>
      <w:color w:val="339966"/>
      <w:szCs w:val="24"/>
    </w:rPr>
  </w:style>
  <w:style w:type="paragraph" w:styleId="Textkrper">
    <w:name w:val="Body Text"/>
    <w:basedOn w:val="Standard"/>
    <w:link w:val="TextkrperZchn"/>
    <w:rsid w:val="00280CB3"/>
    <w:rPr>
      <w:rFonts w:ascii="Arial" w:hAnsi="Arial" w:cs="Arial"/>
      <w:iCs/>
      <w:noProof w:val="0"/>
      <w:color w:val="339966"/>
      <w:sz w:val="22"/>
      <w:szCs w:val="24"/>
    </w:rPr>
  </w:style>
  <w:style w:type="character" w:customStyle="1" w:styleId="TextkrperZchn1">
    <w:name w:val="Textkörper Zchn1"/>
    <w:basedOn w:val="Absatz-Standardschriftart"/>
    <w:uiPriority w:val="99"/>
    <w:semiHidden/>
    <w:rsid w:val="00280CB3"/>
    <w:rPr>
      <w:rFonts w:ascii="Times New Roman" w:hAnsi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m.uni-sb.de/typo3/index.php?id=8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hemie.lilo-ma.de/chlilo/kunststoffe/kunststoffe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4AD49-EBC9-4552-A88E-9CC1667A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3163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henker</dc:creator>
  <cp:keywords/>
  <dc:description/>
  <cp:lastModifiedBy>Thomas Degner</cp:lastModifiedBy>
  <cp:revision>8</cp:revision>
  <dcterms:created xsi:type="dcterms:W3CDTF">2020-01-28T18:33:00Z</dcterms:created>
  <dcterms:modified xsi:type="dcterms:W3CDTF">2020-06-08T15:19:00Z</dcterms:modified>
</cp:coreProperties>
</file>