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F66F" w14:textId="77777777" w:rsidR="00D32069" w:rsidRDefault="0026369A" w:rsidP="00BB336E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Anwendungen der N</w:t>
      </w:r>
      <w:r w:rsidR="00FE2500">
        <w:rPr>
          <w:rFonts w:asciiTheme="majorHAnsi" w:hAnsiTheme="majorHAnsi"/>
          <w:sz w:val="32"/>
        </w:rPr>
        <w:t>ormal</w:t>
      </w:r>
      <w:r w:rsidR="001D5FFD">
        <w:rPr>
          <w:rFonts w:asciiTheme="majorHAnsi" w:hAnsiTheme="majorHAnsi"/>
          <w:sz w:val="32"/>
        </w:rPr>
        <w:t>verteil</w:t>
      </w:r>
      <w:r>
        <w:rPr>
          <w:rFonts w:asciiTheme="majorHAnsi" w:hAnsiTheme="majorHAnsi"/>
          <w:sz w:val="32"/>
        </w:rPr>
        <w:t>ung</w:t>
      </w:r>
      <w:r w:rsidR="005120CC">
        <w:rPr>
          <w:rFonts w:asciiTheme="majorHAnsi" w:hAnsiTheme="majorHAnsi"/>
          <w:sz w:val="32"/>
        </w:rPr>
        <w:t xml:space="preserve"> –</w:t>
      </w:r>
      <w:r w:rsidR="0081747F">
        <w:rPr>
          <w:rFonts w:asciiTheme="majorHAnsi" w:hAnsiTheme="majorHAnsi"/>
          <w:sz w:val="32"/>
        </w:rPr>
        <w:t xml:space="preserve"> Schuhgrößen</w:t>
      </w:r>
    </w:p>
    <w:p w14:paraId="7397E6F9" w14:textId="77777777" w:rsidR="00FF192E" w:rsidRDefault="00180CEA" w:rsidP="00FF192E">
      <w:r>
        <w:rPr>
          <w:noProof/>
        </w:rPr>
        <mc:AlternateContent>
          <mc:Choice Requires="wps">
            <w:drawing>
              <wp:inline distT="0" distB="0" distL="0" distR="0" wp14:anchorId="17E6911D" wp14:editId="0359BAAA">
                <wp:extent cx="5760720" cy="1428750"/>
                <wp:effectExtent l="13970" t="8255" r="6985" b="20320"/>
                <wp:docPr id="2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34333A7" w14:textId="77777777" w:rsidR="00FF192E" w:rsidRDefault="00FF192E" w:rsidP="00FF192E">
                            <w:pPr>
                              <w:jc w:val="both"/>
                            </w:pPr>
                            <w:r w:rsidRPr="00507999">
                              <w:t xml:space="preserve">Die Länge der Füße von männlichen Erwachsenen in Deutschland ist näherungsweise normalverteilt mit </w:t>
                            </w:r>
                            <w:r>
                              <w:t xml:space="preserve">dem </w:t>
                            </w:r>
                            <w:proofErr w:type="gramStart"/>
                            <w:r>
                              <w:t>Erwartungswert  μ</w:t>
                            </w:r>
                            <w:proofErr w:type="gramEnd"/>
                            <w:r>
                              <w:t xml:space="preserve"> = </w:t>
                            </w:r>
                            <w:r w:rsidRPr="00507999">
                              <w:t xml:space="preserve">28 cm und </w:t>
                            </w:r>
                            <w:r>
                              <w:t>der Standardabweichung  σ =</w:t>
                            </w:r>
                            <w:r w:rsidRPr="00507999">
                              <w:t xml:space="preserve"> 1,5 </w:t>
                            </w:r>
                            <w:r>
                              <w:t xml:space="preserve">cm. </w:t>
                            </w:r>
                          </w:p>
                          <w:p w14:paraId="54216017" w14:textId="77777777" w:rsidR="00FF192E" w:rsidRDefault="00FF192E" w:rsidP="00FF192E">
                            <w:pPr>
                              <w:jc w:val="both"/>
                            </w:pPr>
                            <w:r>
                              <w:t xml:space="preserve">Für die Umrechnung der </w:t>
                            </w:r>
                            <w:proofErr w:type="spellStart"/>
                            <w:r>
                              <w:t>Fußlänge</w:t>
                            </w:r>
                            <w:proofErr w:type="spellEnd"/>
                            <w:r>
                              <w:t xml:space="preserve"> (in cm) in die bei uns übliche Schuhgröße „Pariser Stich“ (</w:t>
                            </w:r>
                            <w:proofErr w:type="spellStart"/>
                            <w:r>
                              <w:t>st</w:t>
                            </w:r>
                            <w:proofErr w:type="spellEnd"/>
                            <w:r>
                              <w:t xml:space="preserve">) wird die Länge mit dem </w:t>
                            </w:r>
                            <w:proofErr w:type="gramStart"/>
                            <w:r>
                              <w:t>Faktor  1</w:t>
                            </w:r>
                            <w:proofErr w:type="gramEnd"/>
                            <w:r>
                              <w:t>,5  multipliziert.</w:t>
                            </w:r>
                          </w:p>
                          <w:p w14:paraId="1F7024B4" w14:textId="77777777" w:rsidR="00FF192E" w:rsidRPr="00C64850" w:rsidRDefault="00FF192E" w:rsidP="00FF192E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  <w:proofErr w:type="spellStart"/>
                            <w:r w:rsidRPr="00C64850">
                              <w:rPr>
                                <w:lang w:val="en-US"/>
                              </w:rPr>
                              <w:t>Beispiel</w:t>
                            </w:r>
                            <w:proofErr w:type="spellEnd"/>
                            <w:r w:rsidRPr="00C64850">
                              <w:rPr>
                                <w:lang w:val="en-US"/>
                              </w:rPr>
                              <w:t>:</w:t>
                            </w:r>
                            <w:r w:rsidRPr="00C64850">
                              <w:rPr>
                                <w:lang w:val="en-US"/>
                              </w:rPr>
                              <w:tab/>
                              <w:t xml:space="preserve">l = 28 </w:t>
                            </w:r>
                            <w:proofErr w:type="gramStart"/>
                            <w:r w:rsidRPr="00C64850">
                              <w:rPr>
                                <w:lang w:val="en-US"/>
                              </w:rPr>
                              <w:t>cm  =</w:t>
                            </w:r>
                            <w:proofErr w:type="gramEnd"/>
                            <w:r w:rsidRPr="00C64850">
                              <w:rPr>
                                <w:lang w:val="en-US"/>
                              </w:rPr>
                              <w:t xml:space="preserve">&gt;  S = 1,5 ∙ 28 </w:t>
                            </w:r>
                            <w:proofErr w:type="spellStart"/>
                            <w:r w:rsidRPr="00C64850">
                              <w:rPr>
                                <w:lang w:val="en-US"/>
                              </w:rPr>
                              <w:t>st</w:t>
                            </w:r>
                            <w:proofErr w:type="spellEnd"/>
                            <w:r w:rsidRPr="00C64850">
                              <w:rPr>
                                <w:lang w:val="en-US"/>
                              </w:rPr>
                              <w:t xml:space="preserve"> = 42 </w:t>
                            </w:r>
                            <w:proofErr w:type="spellStart"/>
                            <w:r w:rsidRPr="00C64850">
                              <w:rPr>
                                <w:lang w:val="en-US"/>
                              </w:rP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E6911D" id="Abgerundetes Rechteck 1" o:spid="_x0000_s1026" style="width:453.6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" fillcolor="#bcbcbc" strokecolor="black [3040]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34333A7" w14:textId="77777777" w:rsidR="00FF192E" w:rsidRDefault="00FF192E" w:rsidP="00FF192E">
                      <w:pPr>
                        <w:jc w:val="both"/>
                      </w:pPr>
                      <w:r w:rsidRPr="00507999">
                        <w:t xml:space="preserve">Die Länge der Füße von männlichen Erwachsenen in Deutschland ist näherungsweise normalverteilt mit </w:t>
                      </w:r>
                      <w:r>
                        <w:t xml:space="preserve">dem </w:t>
                      </w:r>
                      <w:proofErr w:type="gramStart"/>
                      <w:r>
                        <w:t>Erwartungswert  μ</w:t>
                      </w:r>
                      <w:proofErr w:type="gramEnd"/>
                      <w:r>
                        <w:t xml:space="preserve"> = </w:t>
                      </w:r>
                      <w:r w:rsidRPr="00507999">
                        <w:t xml:space="preserve">28 cm und </w:t>
                      </w:r>
                      <w:r>
                        <w:t>der Standardabweichung  σ =</w:t>
                      </w:r>
                      <w:r w:rsidRPr="00507999">
                        <w:t xml:space="preserve"> 1,5 </w:t>
                      </w:r>
                      <w:r>
                        <w:t xml:space="preserve">cm. </w:t>
                      </w:r>
                    </w:p>
                    <w:p w14:paraId="54216017" w14:textId="77777777" w:rsidR="00FF192E" w:rsidRDefault="00FF192E" w:rsidP="00FF192E">
                      <w:pPr>
                        <w:jc w:val="both"/>
                      </w:pPr>
                      <w:r>
                        <w:t xml:space="preserve">Für die Umrechnung der </w:t>
                      </w:r>
                      <w:proofErr w:type="spellStart"/>
                      <w:r>
                        <w:t>Fußlänge</w:t>
                      </w:r>
                      <w:proofErr w:type="spellEnd"/>
                      <w:r>
                        <w:t xml:space="preserve"> (in cm) in die bei uns übliche Schuhgröße „Pariser Stich“ (</w:t>
                      </w:r>
                      <w:proofErr w:type="spellStart"/>
                      <w:r>
                        <w:t>st</w:t>
                      </w:r>
                      <w:proofErr w:type="spellEnd"/>
                      <w:r>
                        <w:t xml:space="preserve">) wird die Länge mit dem </w:t>
                      </w:r>
                      <w:proofErr w:type="gramStart"/>
                      <w:r>
                        <w:t>Faktor  1</w:t>
                      </w:r>
                      <w:proofErr w:type="gramEnd"/>
                      <w:r>
                        <w:t>,5  multipliziert.</w:t>
                      </w:r>
                    </w:p>
                    <w:p w14:paraId="1F7024B4" w14:textId="77777777" w:rsidR="00FF192E" w:rsidRPr="00C64850" w:rsidRDefault="00FF192E" w:rsidP="00FF192E">
                      <w:pPr>
                        <w:rPr>
                          <w:rFonts w:cs="Times New Roman"/>
                          <w:lang w:val="en-US"/>
                        </w:rPr>
                      </w:pPr>
                      <w:proofErr w:type="spellStart"/>
                      <w:r w:rsidRPr="00C64850">
                        <w:rPr>
                          <w:lang w:val="en-US"/>
                        </w:rPr>
                        <w:t>Beispiel</w:t>
                      </w:r>
                      <w:proofErr w:type="spellEnd"/>
                      <w:r w:rsidRPr="00C64850">
                        <w:rPr>
                          <w:lang w:val="en-US"/>
                        </w:rPr>
                        <w:t>:</w:t>
                      </w:r>
                      <w:r w:rsidRPr="00C64850">
                        <w:rPr>
                          <w:lang w:val="en-US"/>
                        </w:rPr>
                        <w:tab/>
                        <w:t xml:space="preserve">l = 28 </w:t>
                      </w:r>
                      <w:proofErr w:type="gramStart"/>
                      <w:r w:rsidRPr="00C64850">
                        <w:rPr>
                          <w:lang w:val="en-US"/>
                        </w:rPr>
                        <w:t>cm  =</w:t>
                      </w:r>
                      <w:proofErr w:type="gramEnd"/>
                      <w:r w:rsidRPr="00C64850">
                        <w:rPr>
                          <w:lang w:val="en-US"/>
                        </w:rPr>
                        <w:t xml:space="preserve">&gt;  S = 1,5 ∙ 28 </w:t>
                      </w:r>
                      <w:proofErr w:type="spellStart"/>
                      <w:r w:rsidRPr="00C64850">
                        <w:rPr>
                          <w:lang w:val="en-US"/>
                        </w:rPr>
                        <w:t>st</w:t>
                      </w:r>
                      <w:proofErr w:type="spellEnd"/>
                      <w:r w:rsidRPr="00C64850">
                        <w:rPr>
                          <w:lang w:val="en-US"/>
                        </w:rPr>
                        <w:t xml:space="preserve"> = 42 </w:t>
                      </w:r>
                      <w:proofErr w:type="spellStart"/>
                      <w:r w:rsidRPr="00C64850">
                        <w:rPr>
                          <w:lang w:val="en-US"/>
                        </w:rPr>
                        <w:t>st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584D8F7" w14:textId="77777777" w:rsidR="00FF192E" w:rsidRDefault="00FF192E" w:rsidP="00FF192E">
      <w:pPr>
        <w:pStyle w:val="Listenabsatz"/>
        <w:numPr>
          <w:ilvl w:val="0"/>
          <w:numId w:val="19"/>
        </w:numPr>
        <w:ind w:left="426" w:hanging="426"/>
        <w:jc w:val="both"/>
      </w:pPr>
      <w:r>
        <w:t xml:space="preserve">Ermitteln Sie den Anteil der Jungen </w:t>
      </w:r>
      <w:r w:rsidR="00962833">
        <w:t>Ihres</w:t>
      </w:r>
      <w:r>
        <w:t xml:space="preserve"> Kurses, deren Schuhgröße in der Sigma-Umgebung</w:t>
      </w:r>
    </w:p>
    <w:p w14:paraId="748454F8" w14:textId="77777777" w:rsidR="00FF192E" w:rsidRDefault="00FF192E" w:rsidP="00FF192E">
      <w:pPr>
        <w:pStyle w:val="Listenabsatz"/>
        <w:ind w:left="426"/>
        <w:jc w:val="both"/>
      </w:pPr>
      <w:r>
        <w:t xml:space="preserve">(26,5 cm ≤ X ≤ 29,5 cm) liegt. </w:t>
      </w:r>
    </w:p>
    <w:p w14:paraId="13BC94C0" w14:textId="77777777" w:rsidR="00FF192E" w:rsidRDefault="00FF192E" w:rsidP="00FF192E">
      <w:pPr>
        <w:pStyle w:val="Listenabsatz"/>
        <w:ind w:left="426"/>
        <w:jc w:val="both"/>
      </w:pPr>
    </w:p>
    <w:p w14:paraId="44A33788" w14:textId="77777777" w:rsidR="007027D2" w:rsidRDefault="00FF192E" w:rsidP="00FF192E">
      <w:pPr>
        <w:pStyle w:val="Listenabsatz"/>
        <w:numPr>
          <w:ilvl w:val="0"/>
          <w:numId w:val="19"/>
        </w:numPr>
        <w:ind w:left="426" w:hanging="426"/>
        <w:jc w:val="both"/>
      </w:pPr>
      <w:r>
        <w:t xml:space="preserve">Berechnen Sie, wie viel Prozent der erwachsenen männlichen Bevölkerung in Deutschland die </w:t>
      </w:r>
      <w:proofErr w:type="gramStart"/>
      <w:r>
        <w:t>Schuhgröße  45</w:t>
      </w:r>
      <w:proofErr w:type="gramEnd"/>
      <w:r>
        <w:t xml:space="preserve">  haben.</w:t>
      </w:r>
      <w:r w:rsidR="00C64850">
        <w:t xml:space="preserve"> </w:t>
      </w:r>
    </w:p>
    <w:p w14:paraId="44963592" w14:textId="77777777" w:rsidR="00FF192E" w:rsidRDefault="007027D2" w:rsidP="007027D2">
      <w:pPr>
        <w:pStyle w:val="Listenabsatz"/>
        <w:ind w:left="426"/>
        <w:jc w:val="both"/>
      </w:pPr>
      <w:r>
        <w:t>(Zur Vereinfachung werden nur ganze Zahlen als Schuhgrößen betrachtet)</w:t>
      </w:r>
    </w:p>
    <w:p w14:paraId="519201B9" w14:textId="77777777" w:rsidR="00FF192E" w:rsidRDefault="00FF192E" w:rsidP="00FF192E">
      <w:pPr>
        <w:pStyle w:val="Listenabsatz"/>
        <w:ind w:left="426"/>
        <w:jc w:val="both"/>
      </w:pPr>
    </w:p>
    <w:p w14:paraId="6958EE52" w14:textId="77777777" w:rsidR="00FF192E" w:rsidRDefault="00FF192E" w:rsidP="00FF192E">
      <w:pPr>
        <w:pStyle w:val="Listenabsatz"/>
        <w:numPr>
          <w:ilvl w:val="0"/>
          <w:numId w:val="19"/>
        </w:numPr>
        <w:ind w:left="426" w:hanging="426"/>
        <w:jc w:val="both"/>
      </w:pPr>
      <w:r>
        <w:t xml:space="preserve">Ein Schuhgeschäft wird täglich </w:t>
      </w:r>
      <w:proofErr w:type="gramStart"/>
      <w:r>
        <w:t>von  200</w:t>
      </w:r>
      <w:proofErr w:type="gramEnd"/>
      <w:r>
        <w:t xml:space="preserve">  erwachsenen männlichen Kunden besucht. </w:t>
      </w:r>
    </w:p>
    <w:p w14:paraId="13BBB102" w14:textId="77777777" w:rsidR="00FF192E" w:rsidRDefault="00FF192E" w:rsidP="00FF192E">
      <w:pPr>
        <w:pStyle w:val="Listenabsatz"/>
        <w:ind w:left="426"/>
        <w:jc w:val="both"/>
      </w:pPr>
      <w:r>
        <w:t>Ermitteln Sie die Wahrscheinlichkeit, dass mindestens ein Kunde mit Übergröße (Gr. 48 und größer) im Laufe eines Tages dieses Geschäft aufsucht.</w:t>
      </w:r>
    </w:p>
    <w:p w14:paraId="22825ED0" w14:textId="77777777" w:rsidR="00FF192E" w:rsidRDefault="00FF192E" w:rsidP="00FF192E">
      <w:pPr>
        <w:pStyle w:val="Listenabsatz"/>
        <w:ind w:left="426"/>
        <w:jc w:val="both"/>
      </w:pPr>
    </w:p>
    <w:p w14:paraId="7E7C172B" w14:textId="77777777" w:rsidR="00FF192E" w:rsidRDefault="00FF192E" w:rsidP="00BB336E">
      <w:pPr>
        <w:ind w:left="-142"/>
        <w:jc w:val="center"/>
        <w:rPr>
          <w:rFonts w:asciiTheme="majorHAnsi" w:hAnsiTheme="majorHAnsi"/>
          <w:sz w:val="32"/>
        </w:rPr>
      </w:pPr>
    </w:p>
    <w:p w14:paraId="7991C301" w14:textId="77777777" w:rsidR="009A1FDC" w:rsidRDefault="00180CEA" w:rsidP="006659EF">
      <w:r>
        <w:rPr>
          <w:noProof/>
        </w:rPr>
        <mc:AlternateContent>
          <mc:Choice Requires="wps">
            <w:drawing>
              <wp:inline distT="0" distB="0" distL="0" distR="0" wp14:anchorId="245AB6EB" wp14:editId="472820D3">
                <wp:extent cx="5760720" cy="1371600"/>
                <wp:effectExtent l="13970" t="7620" r="6985" b="20955"/>
                <wp:docPr id="1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554CD11" w14:textId="77777777" w:rsidR="009A1FDC" w:rsidRDefault="0026369A" w:rsidP="000B47AD">
                            <w:pPr>
                              <w:jc w:val="both"/>
                            </w:pPr>
                            <w:r>
                              <w:t>Ein online-Schuhhandel will sich auf den Verkauf von Übergrößen</w:t>
                            </w:r>
                            <w:r w:rsidR="006659EF">
                              <w:t xml:space="preserve"> </w:t>
                            </w:r>
                            <w:r w:rsidR="000B47AD">
                              <w:t xml:space="preserve">bei Damenschuhen </w:t>
                            </w:r>
                            <w:r>
                              <w:t>spezialisieren.</w:t>
                            </w:r>
                            <w:r w:rsidR="006659EF">
                              <w:t xml:space="preserve"> Von einem Statistikinstitut erhält </w:t>
                            </w:r>
                            <w:r w:rsidR="0083301F">
                              <w:t>d</w:t>
                            </w:r>
                            <w:r w:rsidR="006659EF">
                              <w:t xml:space="preserve">er </w:t>
                            </w:r>
                            <w:r w:rsidR="0083301F">
                              <w:t xml:space="preserve">Geschäftsführer </w:t>
                            </w:r>
                            <w:r w:rsidR="006659EF">
                              <w:t>d</w:t>
                            </w:r>
                            <w:r w:rsidR="00FE2500">
                              <w:t xml:space="preserve">ie </w:t>
                            </w:r>
                            <w:r w:rsidR="006659EF">
                              <w:t xml:space="preserve">Information, dass die Schuhgröße von Frauen in Deutschland als normalverteilte Zufallsgröße mit dem </w:t>
                            </w:r>
                            <w:proofErr w:type="gramStart"/>
                            <w:r w:rsidR="006659EF">
                              <w:t>Erwartungswert  μ</w:t>
                            </w:r>
                            <w:proofErr w:type="gramEnd"/>
                            <w:r w:rsidR="006659EF">
                              <w:t xml:space="preserve"> = 38,66  und  der Standardabweichung  σ = 1,55  angenommen werden kann. </w:t>
                            </w:r>
                            <w:r w:rsidR="002D6C7A">
                              <w:t xml:space="preserve">Der </w:t>
                            </w:r>
                            <w:r w:rsidR="0083301F">
                              <w:t>Geschäftsführer</w:t>
                            </w:r>
                            <w:r w:rsidR="002D6C7A">
                              <w:t xml:space="preserve"> will ein Sortiment von Gr. 43 bis Gr. 47 anbieten</w:t>
                            </w:r>
                            <w:r w:rsidR="0083301F">
                              <w:t xml:space="preserve"> und geht davon aus, pro Jahr ca. 1 Mio. Paar Schuhe zu verkaufen</w:t>
                            </w:r>
                            <w:r w:rsidR="002D6C7A">
                              <w:t>.</w:t>
                            </w:r>
                          </w:p>
                          <w:p w14:paraId="114BD44E" w14:textId="77777777" w:rsidR="002D6C7A" w:rsidRDefault="002D6C7A" w:rsidP="00FE250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5AB6EB" id="Abgerundetes Rechteck 7" o:spid="_x0000_s1027" style="width:453.6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" fillcolor="#bcbcbc" strokecolor="black [3040]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554CD11" w14:textId="77777777" w:rsidR="009A1FDC" w:rsidRDefault="0026369A" w:rsidP="000B47AD">
                      <w:pPr>
                        <w:jc w:val="both"/>
                      </w:pPr>
                      <w:r>
                        <w:t>Ein online-Schuhhandel will sich auf den Verkauf von Übergrößen</w:t>
                      </w:r>
                      <w:r w:rsidR="006659EF">
                        <w:t xml:space="preserve"> </w:t>
                      </w:r>
                      <w:r w:rsidR="000B47AD">
                        <w:t xml:space="preserve">bei Damenschuhen </w:t>
                      </w:r>
                      <w:r>
                        <w:t>spezialisieren.</w:t>
                      </w:r>
                      <w:r w:rsidR="006659EF">
                        <w:t xml:space="preserve"> Von einem Statistikinstitut erhält </w:t>
                      </w:r>
                      <w:r w:rsidR="0083301F">
                        <w:t>d</w:t>
                      </w:r>
                      <w:r w:rsidR="006659EF">
                        <w:t xml:space="preserve">er </w:t>
                      </w:r>
                      <w:r w:rsidR="0083301F">
                        <w:t xml:space="preserve">Geschäftsführer </w:t>
                      </w:r>
                      <w:r w:rsidR="006659EF">
                        <w:t>d</w:t>
                      </w:r>
                      <w:r w:rsidR="00FE2500">
                        <w:t xml:space="preserve">ie </w:t>
                      </w:r>
                      <w:r w:rsidR="006659EF">
                        <w:t xml:space="preserve">Information, dass die Schuhgröße von Frauen in Deutschland als normalverteilte Zufallsgröße mit dem </w:t>
                      </w:r>
                      <w:proofErr w:type="gramStart"/>
                      <w:r w:rsidR="006659EF">
                        <w:t>Erwartungswert  μ</w:t>
                      </w:r>
                      <w:proofErr w:type="gramEnd"/>
                      <w:r w:rsidR="006659EF">
                        <w:t xml:space="preserve"> = 38,66  und  der Standardabweichung  σ = 1,55  angenommen werden kann. </w:t>
                      </w:r>
                      <w:r w:rsidR="002D6C7A">
                        <w:t xml:space="preserve">Der </w:t>
                      </w:r>
                      <w:r w:rsidR="0083301F">
                        <w:t>Geschäftsführer</w:t>
                      </w:r>
                      <w:r w:rsidR="002D6C7A">
                        <w:t xml:space="preserve"> will ein Sortiment von Gr. 43 bis Gr. 47 anbieten</w:t>
                      </w:r>
                      <w:r w:rsidR="0083301F">
                        <w:t xml:space="preserve"> und geht davon aus, pro Jahr ca. 1 Mio. Paar Schuhe zu verkaufen</w:t>
                      </w:r>
                      <w:r w:rsidR="002D6C7A">
                        <w:t>.</w:t>
                      </w:r>
                    </w:p>
                    <w:p w14:paraId="114BD44E" w14:textId="77777777" w:rsidR="002D6C7A" w:rsidRDefault="002D6C7A" w:rsidP="00FE250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F2FD44" w14:textId="77777777" w:rsidR="002D6C7A" w:rsidRDefault="002D6C7A" w:rsidP="00FE2500">
      <w:pPr>
        <w:pStyle w:val="Listenabsatz"/>
        <w:numPr>
          <w:ilvl w:val="0"/>
          <w:numId w:val="19"/>
        </w:numPr>
        <w:ind w:left="426" w:hanging="426"/>
        <w:jc w:val="both"/>
      </w:pPr>
      <w:r>
        <w:t xml:space="preserve">Die Lagerkapazität </w:t>
      </w:r>
      <w:proofErr w:type="gramStart"/>
      <w:r>
        <w:t>beträgt  100</w:t>
      </w:r>
      <w:proofErr w:type="gramEnd"/>
      <w:r>
        <w:t xml:space="preserve"> 000 Paar Schuhe. Ermitteln Sie </w:t>
      </w:r>
      <w:r w:rsidR="00101853">
        <w:t xml:space="preserve">für jede der </w:t>
      </w:r>
      <w:proofErr w:type="gramStart"/>
      <w:r w:rsidR="00101853">
        <w:t>Größen  43</w:t>
      </w:r>
      <w:proofErr w:type="gramEnd"/>
      <w:r w:rsidR="00101853">
        <w:t xml:space="preserve">  bis  47 </w:t>
      </w:r>
      <w:r>
        <w:t>d</w:t>
      </w:r>
      <w:r w:rsidR="00101853">
        <w:t>i</w:t>
      </w:r>
      <w:r>
        <w:t>e An</w:t>
      </w:r>
      <w:r w:rsidR="00101853">
        <w:t>zahl an Schuhpaaren, die am Lager sein sollten</w:t>
      </w:r>
      <w:r>
        <w:t>.</w:t>
      </w:r>
    </w:p>
    <w:p w14:paraId="6FEAF5F0" w14:textId="77777777" w:rsidR="002D6C7A" w:rsidRDefault="002D6C7A" w:rsidP="002D6C7A">
      <w:pPr>
        <w:pStyle w:val="Listenabsatz"/>
        <w:ind w:left="426"/>
        <w:jc w:val="both"/>
      </w:pPr>
    </w:p>
    <w:p w14:paraId="23E9E908" w14:textId="77777777" w:rsidR="002A149F" w:rsidRDefault="002A149F" w:rsidP="00FE2500">
      <w:pPr>
        <w:pStyle w:val="Listenabsatz"/>
        <w:numPr>
          <w:ilvl w:val="0"/>
          <w:numId w:val="19"/>
        </w:numPr>
        <w:ind w:left="426" w:hanging="426"/>
        <w:jc w:val="both"/>
      </w:pPr>
      <w:r>
        <w:t xml:space="preserve">Ein Mitarbeiter empfiehlt dem Geschäftsführer, die </w:t>
      </w:r>
      <w:proofErr w:type="gramStart"/>
      <w:r>
        <w:t>Größen  46</w:t>
      </w:r>
      <w:proofErr w:type="gramEnd"/>
      <w:r>
        <w:t xml:space="preserve">  und  47 aus dem Sortiment zu nehmen und stattdessen die beiden größten Untergrößen (Gr. 35 und Gr. 34) mitaufzunehmen. </w:t>
      </w:r>
    </w:p>
    <w:p w14:paraId="5F9DA0A9" w14:textId="77777777" w:rsidR="002A149F" w:rsidRDefault="002A149F" w:rsidP="002A149F">
      <w:pPr>
        <w:pStyle w:val="Listenabsatz"/>
        <w:ind w:left="426"/>
        <w:jc w:val="both"/>
      </w:pPr>
      <w:r>
        <w:t>Wägen Sie Vor- und Nachteile einer solchen Veränderung ab.</w:t>
      </w:r>
    </w:p>
    <w:p w14:paraId="3D295B8C" w14:textId="77777777" w:rsidR="00507999" w:rsidRDefault="00507999" w:rsidP="002A149F">
      <w:pPr>
        <w:pStyle w:val="Listenabsatz"/>
        <w:ind w:left="426"/>
        <w:jc w:val="both"/>
      </w:pPr>
    </w:p>
    <w:p w14:paraId="76A9CFC4" w14:textId="77777777" w:rsidR="00507999" w:rsidRDefault="00507999" w:rsidP="002A149F">
      <w:pPr>
        <w:pStyle w:val="Listenabsatz"/>
        <w:ind w:left="426"/>
        <w:jc w:val="both"/>
      </w:pPr>
    </w:p>
    <w:p w14:paraId="6B947E19" w14:textId="77777777" w:rsidR="002A149F" w:rsidRDefault="002A149F" w:rsidP="002A149F">
      <w:pPr>
        <w:pStyle w:val="Listenabsatz"/>
        <w:ind w:left="426"/>
        <w:jc w:val="both"/>
      </w:pPr>
    </w:p>
    <w:p w14:paraId="3AB67480" w14:textId="77777777" w:rsidR="009A1FDC" w:rsidRDefault="009A1FDC" w:rsidP="009A1FDC">
      <w:pPr>
        <w:ind w:left="-142"/>
        <w:rPr>
          <w:rFonts w:asciiTheme="majorHAnsi" w:hAnsiTheme="majorHAnsi"/>
          <w:sz w:val="32"/>
        </w:rPr>
        <w:sectPr w:rsidR="009A1FDC" w:rsidSect="00095CC0">
          <w:headerReference w:type="default" r:id="rId8"/>
          <w:footerReference w:type="default" r:id="rId9"/>
          <w:pgSz w:w="11906" w:h="16838"/>
          <w:pgMar w:top="587" w:right="1417" w:bottom="284" w:left="1417" w:header="708" w:footer="708" w:gutter="0"/>
          <w:cols w:space="708"/>
          <w:docGrid w:linePitch="360"/>
        </w:sectPr>
      </w:pPr>
    </w:p>
    <w:p w14:paraId="04A0303D" w14:textId="77777777" w:rsidR="001D5FFD" w:rsidRDefault="001D5FFD" w:rsidP="001D5FFD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Lösungsvorschlag</w:t>
      </w:r>
    </w:p>
    <w:p w14:paraId="1067508E" w14:textId="77777777" w:rsidR="00FF192E" w:rsidRDefault="00962833" w:rsidP="00FF192E">
      <w:pPr>
        <w:pStyle w:val="Listenabsatz"/>
        <w:numPr>
          <w:ilvl w:val="0"/>
          <w:numId w:val="23"/>
        </w:numPr>
        <w:ind w:left="426" w:hanging="426"/>
        <w:jc w:val="both"/>
      </w:pPr>
      <w:r>
        <w:t>Individuell</w:t>
      </w:r>
      <w:r w:rsidR="00FF192E">
        <w:t xml:space="preserve">. </w:t>
      </w:r>
    </w:p>
    <w:p w14:paraId="668A1A7F" w14:textId="77777777" w:rsidR="00FF192E" w:rsidRDefault="00FF192E" w:rsidP="00FF192E">
      <w:pPr>
        <w:pStyle w:val="Listenabsatz"/>
        <w:ind w:left="426"/>
        <w:jc w:val="both"/>
      </w:pPr>
    </w:p>
    <w:p w14:paraId="5B275BD8" w14:textId="77777777" w:rsidR="00140FAC" w:rsidRDefault="00962833" w:rsidP="00FF192E">
      <w:pPr>
        <w:pStyle w:val="Listenabsatz"/>
        <w:numPr>
          <w:ilvl w:val="0"/>
          <w:numId w:val="23"/>
        </w:numPr>
        <w:ind w:left="426" w:hanging="426"/>
        <w:jc w:val="both"/>
      </w:pPr>
      <w:r>
        <w:t xml:space="preserve">X ist normalverteilt </w:t>
      </w:r>
      <w:proofErr w:type="gramStart"/>
      <w:r>
        <w:t>mit  μ</w:t>
      </w:r>
      <w:proofErr w:type="gramEnd"/>
      <w:r>
        <w:t xml:space="preserve"> = </w:t>
      </w:r>
      <w:r w:rsidR="00140FAC">
        <w:t>42  und  σ = 2,25.</w:t>
      </w:r>
    </w:p>
    <w:p w14:paraId="0FFB41EB" w14:textId="77777777" w:rsidR="00140FAC" w:rsidRDefault="00962833" w:rsidP="00140FAC">
      <w:pPr>
        <w:pStyle w:val="Listenabsatz"/>
        <w:ind w:left="426"/>
        <w:jc w:val="both"/>
      </w:pPr>
      <w:proofErr w:type="gramStart"/>
      <w:r>
        <w:t>P(</w:t>
      </w:r>
      <w:proofErr w:type="gramEnd"/>
      <w:r>
        <w:t>44,5 ≤ X ≤</w:t>
      </w:r>
      <w:r w:rsidR="00140FAC">
        <w:t xml:space="preserve"> 45,5) ≈ 0,0734 </w:t>
      </w:r>
      <w:r w:rsidR="00140FAC" w:rsidRPr="00140FAC">
        <w:rPr>
          <w:b/>
        </w:rPr>
        <w:t>= 7,34%</w:t>
      </w:r>
    </w:p>
    <w:p w14:paraId="351C7CAF" w14:textId="77777777" w:rsidR="00FF192E" w:rsidRDefault="00FF192E" w:rsidP="00FF192E">
      <w:pPr>
        <w:pStyle w:val="Listenabsatz"/>
        <w:ind w:left="426"/>
        <w:jc w:val="both"/>
      </w:pPr>
    </w:p>
    <w:p w14:paraId="20E814C7" w14:textId="77777777" w:rsidR="00140FAC" w:rsidRDefault="00140FAC" w:rsidP="00140FAC">
      <w:pPr>
        <w:pStyle w:val="Listenabsatz"/>
        <w:numPr>
          <w:ilvl w:val="0"/>
          <w:numId w:val="23"/>
        </w:numPr>
        <w:ind w:left="426" w:hanging="426"/>
        <w:jc w:val="both"/>
      </w:pPr>
      <w:r>
        <w:t xml:space="preserve">X ist normalverteilt </w:t>
      </w:r>
      <w:proofErr w:type="gramStart"/>
      <w:r>
        <w:t>mit  μ</w:t>
      </w:r>
      <w:proofErr w:type="gramEnd"/>
      <w:r>
        <w:t xml:space="preserve"> = 42  und  σ = 2,25.</w:t>
      </w:r>
    </w:p>
    <w:p w14:paraId="0271C98C" w14:textId="77777777" w:rsidR="00140FAC" w:rsidRDefault="00140FAC" w:rsidP="00140FAC">
      <w:pPr>
        <w:pStyle w:val="Listenabsatz"/>
        <w:ind w:left="426"/>
        <w:jc w:val="both"/>
      </w:pPr>
      <w:proofErr w:type="gramStart"/>
      <w:r>
        <w:t>P(</w:t>
      </w:r>
      <w:proofErr w:type="gramEnd"/>
      <w:r>
        <w:t xml:space="preserve">X ≥ 48) ≈ 0,0038 </w:t>
      </w:r>
    </w:p>
    <w:p w14:paraId="624DBCA0" w14:textId="77777777" w:rsidR="00140FAC" w:rsidRDefault="00140FAC" w:rsidP="00140FAC">
      <w:pPr>
        <w:pStyle w:val="Listenabsatz"/>
        <w:ind w:left="426"/>
        <w:jc w:val="both"/>
      </w:pPr>
      <w:r>
        <w:t xml:space="preserve">Y ist binomialverteilt </w:t>
      </w:r>
      <w:proofErr w:type="gramStart"/>
      <w:r>
        <w:t>mit  n</w:t>
      </w:r>
      <w:proofErr w:type="gramEnd"/>
      <w:r>
        <w:t xml:space="preserve"> = 200  und  p  = 0,0038.</w:t>
      </w:r>
    </w:p>
    <w:p w14:paraId="5B4A2BE1" w14:textId="77777777" w:rsidR="00140FAC" w:rsidRDefault="00140FAC" w:rsidP="00140FAC">
      <w:pPr>
        <w:pStyle w:val="Listenabsatz"/>
        <w:ind w:left="426"/>
        <w:jc w:val="both"/>
      </w:pPr>
      <w:proofErr w:type="gramStart"/>
      <w:r>
        <w:t>P(</w:t>
      </w:r>
      <w:proofErr w:type="gramEnd"/>
      <w:r>
        <w:t>Y ≥ 1) = 1 – P(Y =</w:t>
      </w:r>
      <w:r w:rsidR="004555E9">
        <w:t xml:space="preserve"> </w:t>
      </w:r>
      <w:r>
        <w:t xml:space="preserve">0) ≈ </w:t>
      </w:r>
      <w:r w:rsidR="00B63251">
        <w:t>1 –</w:t>
      </w:r>
      <w:r w:rsidR="00B63251" w:rsidRPr="00B63251">
        <w:t xml:space="preserve"> </w:t>
      </w:r>
      <w:r w:rsidRPr="00B63251">
        <w:t>0,4670</w:t>
      </w:r>
      <w:r w:rsidR="00B63251">
        <w:rPr>
          <w:b/>
        </w:rPr>
        <w:t xml:space="preserve"> = 0,5330</w:t>
      </w:r>
    </w:p>
    <w:p w14:paraId="47823AD8" w14:textId="77777777" w:rsidR="00140FAC" w:rsidRDefault="00140FAC" w:rsidP="00140FAC">
      <w:pPr>
        <w:pStyle w:val="Listenabsatz"/>
        <w:ind w:left="426"/>
        <w:jc w:val="both"/>
      </w:pPr>
    </w:p>
    <w:p w14:paraId="6A183DB8" w14:textId="77777777" w:rsidR="00140FAC" w:rsidRDefault="00140FAC" w:rsidP="00140FAC">
      <w:pPr>
        <w:pStyle w:val="Listenabsatz"/>
        <w:ind w:left="426"/>
        <w:jc w:val="both"/>
      </w:pPr>
    </w:p>
    <w:p w14:paraId="3F04A019" w14:textId="77777777" w:rsidR="000B47AD" w:rsidRDefault="000B47AD" w:rsidP="00FF192E">
      <w:pPr>
        <w:pStyle w:val="Listenabsatz"/>
        <w:numPr>
          <w:ilvl w:val="0"/>
          <w:numId w:val="23"/>
        </w:numPr>
        <w:ind w:left="426"/>
        <w:jc w:val="both"/>
      </w:pPr>
    </w:p>
    <w:tbl>
      <w:tblPr>
        <w:tblW w:w="9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45"/>
        <w:gridCol w:w="1245"/>
        <w:gridCol w:w="1200"/>
        <w:gridCol w:w="1200"/>
        <w:gridCol w:w="1200"/>
        <w:gridCol w:w="1280"/>
      </w:tblGrid>
      <w:tr w:rsidR="000B47AD" w:rsidRPr="000B47AD" w14:paraId="51C6BF45" w14:textId="77777777" w:rsidTr="00180CEA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F7EBA45" w14:textId="77777777" w:rsidR="000B47AD" w:rsidRPr="000B47AD" w:rsidRDefault="000B47AD" w:rsidP="000B4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Schuhgröße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2BBCC514" w14:textId="77777777" w:rsidR="000B47AD" w:rsidRPr="000B47AD" w:rsidRDefault="000B47AD" w:rsidP="000B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3E16C35" w14:textId="77777777" w:rsidR="000B47AD" w:rsidRPr="000B47AD" w:rsidRDefault="000B47AD" w:rsidP="000B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00DBDB" w14:textId="77777777" w:rsidR="000B47AD" w:rsidRPr="000B47AD" w:rsidRDefault="000B47AD" w:rsidP="000B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FF6004" w14:textId="77777777" w:rsidR="000B47AD" w:rsidRPr="000B47AD" w:rsidRDefault="000B47AD" w:rsidP="000B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132BE2" w14:textId="77777777" w:rsidR="000B47AD" w:rsidRPr="000B47AD" w:rsidRDefault="000B47AD" w:rsidP="000B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F8739F2" w14:textId="77777777" w:rsidR="000B47AD" w:rsidRPr="000B47AD" w:rsidRDefault="000B47AD" w:rsidP="000B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Summe</w:t>
            </w:r>
          </w:p>
        </w:tc>
      </w:tr>
      <w:tr w:rsidR="000B47AD" w:rsidRPr="000B47AD" w14:paraId="6034984C" w14:textId="77777777" w:rsidTr="00180CEA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0A4A969" w14:textId="77777777" w:rsidR="000B47AD" w:rsidRPr="000B47AD" w:rsidRDefault="000B47AD" w:rsidP="000B4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Anteil an Damengrößen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803F7D6" w14:textId="77777777" w:rsidR="000B47AD" w:rsidRPr="000B47AD" w:rsidRDefault="000B47AD" w:rsidP="00AC5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0,5</w:t>
            </w:r>
            <w:r w:rsidR="00AC5239">
              <w:rPr>
                <w:rFonts w:ascii="Calibri" w:eastAsia="Times New Roman" w:hAnsi="Calibri" w:cs="Times New Roman"/>
                <w:color w:val="000000"/>
              </w:rPr>
              <w:t>72040</w:t>
            </w:r>
            <w:r w:rsidRPr="000B47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2B47ACA7" w14:textId="77777777" w:rsidR="000B47AD" w:rsidRPr="000B47AD" w:rsidRDefault="000B47AD" w:rsidP="00AC5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0,</w:t>
            </w:r>
            <w:r w:rsidR="00AC5239">
              <w:rPr>
                <w:rFonts w:ascii="Calibri" w:eastAsia="Times New Roman" w:hAnsi="Calibri" w:cs="Times New Roman"/>
                <w:color w:val="000000"/>
              </w:rPr>
              <w:t>081404</w:t>
            </w:r>
            <w:r w:rsidRPr="000B47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B74953" w14:textId="77777777" w:rsidR="000B47AD" w:rsidRPr="000B47AD" w:rsidRDefault="00AC5239" w:rsidP="0018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0,00</w:t>
            </w: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  <w:r w:rsidR="00180CEA"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0B47AD" w:rsidRPr="000B47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84DA01" w14:textId="77777777" w:rsidR="000B47AD" w:rsidRPr="000B47AD" w:rsidRDefault="00AC5239" w:rsidP="00AC5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0,000489</w:t>
            </w:r>
            <w:r w:rsidR="000B47AD" w:rsidRPr="000B47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AC4515" w14:textId="77777777" w:rsidR="000B47AD" w:rsidRPr="000B47AD" w:rsidRDefault="000B47AD" w:rsidP="0018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0,0000</w:t>
            </w:r>
            <w:r w:rsidR="00180CEA"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0B47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7E325F8" w14:textId="77777777" w:rsidR="000B47AD" w:rsidRPr="000B47AD" w:rsidRDefault="000B47AD" w:rsidP="0018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0,</w:t>
            </w:r>
            <w:r w:rsidR="00180CEA">
              <w:rPr>
                <w:rFonts w:ascii="Calibri" w:eastAsia="Times New Roman" w:hAnsi="Calibri" w:cs="Times New Roman"/>
                <w:color w:val="000000"/>
              </w:rPr>
              <w:t>661683</w:t>
            </w:r>
            <w:r w:rsidRPr="000B47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80CEA" w:rsidRPr="000B47AD" w14:paraId="6E66BE1F" w14:textId="77777777" w:rsidTr="00180CEA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CC38987" w14:textId="77777777" w:rsidR="00180CEA" w:rsidRPr="000B47AD" w:rsidRDefault="00180CEA" w:rsidP="000B4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Anteil am Sortiment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47FEBCA" w14:textId="77777777" w:rsidR="00180CEA" w:rsidRDefault="00180CEA" w:rsidP="00180C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86,4523%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4A8585DD" w14:textId="77777777" w:rsidR="00180CEA" w:rsidRDefault="00180CEA" w:rsidP="00180C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12,3026%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6D552F" w14:textId="77777777" w:rsidR="00180CEA" w:rsidRDefault="00180CEA" w:rsidP="00180C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1,1681%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69ED7A" w14:textId="77777777" w:rsidR="00180CEA" w:rsidRDefault="00180CEA" w:rsidP="00180C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0,0739%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C82F79" w14:textId="77777777" w:rsidR="00180CEA" w:rsidRDefault="00180CEA" w:rsidP="00180C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0,0032%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D1F9BF" w14:textId="77777777" w:rsidR="00180CEA" w:rsidRPr="000B47AD" w:rsidRDefault="00180CEA" w:rsidP="000B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00%</w:t>
            </w:r>
          </w:p>
        </w:tc>
      </w:tr>
      <w:tr w:rsidR="00180CEA" w:rsidRPr="000B47AD" w14:paraId="3D5F7FAD" w14:textId="77777777" w:rsidTr="00180CEA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6988BC4" w14:textId="77777777" w:rsidR="00180CEA" w:rsidRPr="000B47AD" w:rsidRDefault="00180CEA" w:rsidP="000B47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b/>
                <w:color w:val="000000"/>
              </w:rPr>
              <w:t>Anzahl am Lager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536DC9B" w14:textId="77777777" w:rsidR="00180CEA" w:rsidRPr="00180CEA" w:rsidRDefault="00180CEA" w:rsidP="00180CEA">
            <w:pPr>
              <w:spacing w:after="0" w:line="240" w:lineRule="auto"/>
              <w:jc w:val="center"/>
              <w:rPr>
                <w:b/>
              </w:rPr>
            </w:pPr>
            <w:r w:rsidRPr="00180CEA">
              <w:rPr>
                <w:b/>
              </w:rPr>
              <w:t>86452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4BA10A2" w14:textId="77777777" w:rsidR="00180CEA" w:rsidRPr="00180CEA" w:rsidRDefault="00180CEA" w:rsidP="00180CEA">
            <w:pPr>
              <w:spacing w:after="0" w:line="240" w:lineRule="auto"/>
              <w:jc w:val="center"/>
              <w:rPr>
                <w:b/>
              </w:rPr>
            </w:pPr>
            <w:r w:rsidRPr="00180CEA">
              <w:rPr>
                <w:b/>
              </w:rPr>
              <w:t>12303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1CE706" w14:textId="77777777" w:rsidR="00180CEA" w:rsidRPr="00180CEA" w:rsidRDefault="00180CEA" w:rsidP="00180CEA">
            <w:pPr>
              <w:spacing w:after="0" w:line="240" w:lineRule="auto"/>
              <w:jc w:val="center"/>
              <w:rPr>
                <w:b/>
              </w:rPr>
            </w:pPr>
            <w:r w:rsidRPr="00180CEA">
              <w:rPr>
                <w:b/>
              </w:rPr>
              <w:t>1168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D7B8A8" w14:textId="77777777" w:rsidR="00180CEA" w:rsidRPr="00180CEA" w:rsidRDefault="00180CEA" w:rsidP="00180CEA">
            <w:pPr>
              <w:spacing w:after="0" w:line="240" w:lineRule="auto"/>
              <w:jc w:val="center"/>
              <w:rPr>
                <w:b/>
              </w:rPr>
            </w:pPr>
            <w:r w:rsidRPr="00180CEA">
              <w:rPr>
                <w:b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AD3D8F3" w14:textId="77777777" w:rsidR="00180CEA" w:rsidRPr="00180CEA" w:rsidRDefault="00180CEA" w:rsidP="00180CEA">
            <w:pPr>
              <w:spacing w:after="0" w:line="240" w:lineRule="auto"/>
              <w:jc w:val="center"/>
              <w:rPr>
                <w:b/>
              </w:rPr>
            </w:pPr>
            <w:r w:rsidRPr="00180CEA">
              <w:rPr>
                <w:b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36CCE6" w14:textId="77777777" w:rsidR="00180CEA" w:rsidRPr="00180CEA" w:rsidRDefault="00180CEA" w:rsidP="0018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0CEA">
              <w:rPr>
                <w:rFonts w:ascii="Calibri" w:eastAsia="Times New Roman" w:hAnsi="Calibri" w:cs="Times New Roman"/>
                <w:b/>
                <w:color w:val="000000"/>
              </w:rPr>
              <w:t>100000</w:t>
            </w:r>
          </w:p>
        </w:tc>
      </w:tr>
    </w:tbl>
    <w:p w14:paraId="13B1EDD0" w14:textId="77777777" w:rsidR="000B47AD" w:rsidRDefault="000B47AD" w:rsidP="000B47AD">
      <w:pPr>
        <w:pStyle w:val="Listenabsatz"/>
        <w:ind w:left="426"/>
        <w:jc w:val="both"/>
      </w:pPr>
    </w:p>
    <w:p w14:paraId="2BFCEF7F" w14:textId="77777777" w:rsidR="00FF192E" w:rsidRDefault="00FF192E" w:rsidP="00FF192E">
      <w:pPr>
        <w:pStyle w:val="Listenabsatz"/>
        <w:numPr>
          <w:ilvl w:val="0"/>
          <w:numId w:val="23"/>
        </w:numPr>
        <w:ind w:left="426"/>
        <w:jc w:val="both"/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1246"/>
        <w:gridCol w:w="1247"/>
        <w:gridCol w:w="1246"/>
        <w:gridCol w:w="1247"/>
        <w:gridCol w:w="1246"/>
        <w:gridCol w:w="1247"/>
      </w:tblGrid>
      <w:tr w:rsidR="00FF192E" w:rsidRPr="00FF192E" w14:paraId="2186DDC3" w14:textId="77777777" w:rsidTr="00FF192E">
        <w:trPr>
          <w:trHeight w:val="300"/>
        </w:trPr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17CB80D" w14:textId="77777777" w:rsidR="00FF192E" w:rsidRPr="00FF192E" w:rsidRDefault="00FF192E" w:rsidP="00FF1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92E">
              <w:rPr>
                <w:rFonts w:ascii="Calibri" w:eastAsia="Times New Roman" w:hAnsi="Calibri" w:cs="Times New Roman"/>
                <w:color w:val="000000"/>
              </w:rPr>
              <w:t>Schuhgröße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48AD8731" w14:textId="77777777" w:rsidR="00FF192E" w:rsidRPr="00FF192E" w:rsidRDefault="00FF192E" w:rsidP="00FF1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192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4282CAE" w14:textId="77777777" w:rsidR="00FF192E" w:rsidRPr="00FF192E" w:rsidRDefault="00FF192E" w:rsidP="00FF1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192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446ECCC" w14:textId="77777777" w:rsidR="00FF192E" w:rsidRPr="00FF192E" w:rsidRDefault="00FF192E" w:rsidP="00FF1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Summe</w:t>
            </w:r>
          </w:p>
        </w:tc>
        <w:tc>
          <w:tcPr>
            <w:tcW w:w="1247" w:type="dxa"/>
            <w:vAlign w:val="center"/>
          </w:tcPr>
          <w:p w14:paraId="3FF722EE" w14:textId="77777777" w:rsidR="00FF192E" w:rsidRDefault="00FF192E" w:rsidP="00FF192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46" w:type="dxa"/>
            <w:vAlign w:val="center"/>
          </w:tcPr>
          <w:p w14:paraId="0703CF9E" w14:textId="77777777" w:rsidR="00FF192E" w:rsidRDefault="00FF192E" w:rsidP="00FF192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47" w:type="dxa"/>
            <w:vAlign w:val="center"/>
          </w:tcPr>
          <w:p w14:paraId="38409AFE" w14:textId="77777777" w:rsidR="00FF192E" w:rsidRDefault="00FF192E" w:rsidP="00FF192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Summe</w:t>
            </w:r>
          </w:p>
        </w:tc>
      </w:tr>
      <w:tr w:rsidR="00180CEA" w:rsidRPr="00FF192E" w14:paraId="7BE618F3" w14:textId="77777777" w:rsidTr="0073014B">
        <w:trPr>
          <w:trHeight w:val="300"/>
        </w:trPr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DF6535C" w14:textId="77777777" w:rsidR="00180CEA" w:rsidRPr="00FF192E" w:rsidRDefault="00180CEA" w:rsidP="00FF1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92E">
              <w:rPr>
                <w:rFonts w:ascii="Calibri" w:eastAsia="Times New Roman" w:hAnsi="Calibri" w:cs="Times New Roman"/>
                <w:color w:val="000000"/>
              </w:rPr>
              <w:t>Anteil an Damengrößen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DE8E23C" w14:textId="77777777" w:rsidR="00180CEA" w:rsidRPr="00FF192E" w:rsidRDefault="00180CEA" w:rsidP="0018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192E">
              <w:rPr>
                <w:rFonts w:ascii="Calibri" w:eastAsia="Times New Roman" w:hAnsi="Calibri" w:cs="Times New Roman"/>
                <w:color w:val="000000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</w:rPr>
              <w:t>320301</w:t>
            </w:r>
            <w:r w:rsidRPr="00FF192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A3C14A0" w14:textId="77777777" w:rsidR="00180CEA" w:rsidRPr="00FF192E" w:rsidRDefault="00180CEA" w:rsidP="00FF1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1,710063</w:t>
            </w:r>
            <w:r w:rsidRPr="00FF192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DF02FA5" w14:textId="77777777" w:rsidR="00180CEA" w:rsidRPr="00FF192E" w:rsidRDefault="00180CEA" w:rsidP="00FF1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2,030364</w:t>
            </w:r>
            <w:r w:rsidRPr="00FF192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47" w:type="dxa"/>
            <w:vAlign w:val="bottom"/>
          </w:tcPr>
          <w:p w14:paraId="2260878A" w14:textId="77777777" w:rsidR="00180CEA" w:rsidRPr="000B47AD" w:rsidRDefault="00180CEA" w:rsidP="00225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0,000489</w:t>
            </w:r>
            <w:r w:rsidRPr="000B47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46" w:type="dxa"/>
            <w:vAlign w:val="bottom"/>
          </w:tcPr>
          <w:p w14:paraId="6C3C6E41" w14:textId="77777777" w:rsidR="00180CEA" w:rsidRPr="000B47AD" w:rsidRDefault="00180CEA" w:rsidP="00225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7AD">
              <w:rPr>
                <w:rFonts w:ascii="Calibri" w:eastAsia="Times New Roman" w:hAnsi="Calibri" w:cs="Times New Roman"/>
                <w:color w:val="000000"/>
              </w:rPr>
              <w:t>0,0000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0B47A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47" w:type="dxa"/>
            <w:vAlign w:val="center"/>
          </w:tcPr>
          <w:p w14:paraId="655EAB7F" w14:textId="77777777" w:rsidR="00180CEA" w:rsidRDefault="00180CEA" w:rsidP="00180C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0,000510%</w:t>
            </w:r>
          </w:p>
        </w:tc>
      </w:tr>
    </w:tbl>
    <w:p w14:paraId="45581F1C" w14:textId="77777777" w:rsidR="00FF192E" w:rsidRDefault="00FF192E" w:rsidP="00FF192E">
      <w:pPr>
        <w:pStyle w:val="Listenabsatz"/>
        <w:ind w:left="426"/>
        <w:jc w:val="both"/>
      </w:pPr>
    </w:p>
    <w:p w14:paraId="60AE4053" w14:textId="77777777" w:rsidR="000B47AD" w:rsidRPr="005120CC" w:rsidRDefault="00FF192E" w:rsidP="005120CC">
      <w:pPr>
        <w:pStyle w:val="Listenabsatz"/>
        <w:ind w:left="426"/>
        <w:jc w:val="both"/>
      </w:pPr>
      <w:r>
        <w:t xml:space="preserve">Der Bedarf an Damenschuhen der Größen 34 und 35 ist ca. </w:t>
      </w:r>
      <w:proofErr w:type="gramStart"/>
      <w:r w:rsidR="00180CEA">
        <w:t>4</w:t>
      </w:r>
      <w:r>
        <w:t>000 mal</w:t>
      </w:r>
      <w:proofErr w:type="gramEnd"/>
      <w:r>
        <w:t xml:space="preserve"> größer als der für die Größen 46 und 47. Insofern könnte eine Umstellung bedeuten, dass deutlich mehr Schuhe verkauft werden. Allerdings könnte im Bereich 34/35 auch die Konkurrenz größer sein, während im Bereich 46/47 eher eine Nische erfolgreich bedient werden kann. Zudem dürften durch die Umstrukturierung Kosten anfallen.</w:t>
      </w:r>
      <w:bookmarkStart w:id="0" w:name="_GoBack"/>
      <w:bookmarkEnd w:id="0"/>
    </w:p>
    <w:sectPr w:rsidR="000B47AD" w:rsidRPr="005120CC" w:rsidSect="00095CC0">
      <w:pgSz w:w="11906" w:h="16838"/>
      <w:pgMar w:top="58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6704" w14:textId="77777777" w:rsidR="009A18B1" w:rsidRDefault="009A18B1" w:rsidP="002572E0">
      <w:pPr>
        <w:spacing w:after="0" w:line="240" w:lineRule="auto"/>
      </w:pPr>
      <w:r>
        <w:separator/>
      </w:r>
    </w:p>
  </w:endnote>
  <w:endnote w:type="continuationSeparator" w:id="0">
    <w:p w14:paraId="20CC7FFC" w14:textId="77777777" w:rsidR="009A18B1" w:rsidRDefault="009A18B1" w:rsidP="002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79E2" w14:textId="77777777" w:rsidR="005120CC" w:rsidRPr="005120CC" w:rsidRDefault="005120CC" w:rsidP="005120CC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1143" w14:textId="77777777" w:rsidR="009A18B1" w:rsidRDefault="009A18B1" w:rsidP="002572E0">
      <w:pPr>
        <w:spacing w:after="0" w:line="240" w:lineRule="auto"/>
      </w:pPr>
      <w:r>
        <w:separator/>
      </w:r>
    </w:p>
  </w:footnote>
  <w:footnote w:type="continuationSeparator" w:id="0">
    <w:p w14:paraId="7C400CEF" w14:textId="77777777" w:rsidR="009A18B1" w:rsidRDefault="009A18B1" w:rsidP="0025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D78A" w14:textId="77777777" w:rsidR="002572E0" w:rsidRPr="00294AF0" w:rsidRDefault="002572E0" w:rsidP="002572E0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171828" wp14:editId="6706959D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D36">
      <w:rPr>
        <w:b/>
        <w:sz w:val="20"/>
        <w:szCs w:val="20"/>
      </w:rPr>
      <w:t>Norma</w:t>
    </w:r>
    <w:r>
      <w:rPr>
        <w:b/>
        <w:sz w:val="20"/>
        <w:szCs w:val="20"/>
      </w:rPr>
      <w:t>l</w:t>
    </w:r>
    <w:r w:rsidR="00AA7D36">
      <w:rPr>
        <w:b/>
        <w:sz w:val="20"/>
        <w:szCs w:val="20"/>
      </w:rPr>
      <w:t>vert</w:t>
    </w:r>
    <w:r>
      <w:rPr>
        <w:b/>
        <w:sz w:val="20"/>
        <w:szCs w:val="20"/>
      </w:rPr>
      <w:t>ei</w:t>
    </w:r>
    <w:r w:rsidR="00AA7D36">
      <w:rPr>
        <w:b/>
        <w:sz w:val="20"/>
        <w:szCs w:val="20"/>
      </w:rPr>
      <w:t>lung</w:t>
    </w:r>
    <w:r w:rsidR="005120CC">
      <w:rPr>
        <w:b/>
        <w:sz w:val="20"/>
        <w:szCs w:val="20"/>
      </w:rPr>
      <w:tab/>
      <w:t xml:space="preserve">Unterrichtsgang im </w:t>
    </w:r>
    <w:r w:rsidR="00FB30B7">
      <w:rPr>
        <w:b/>
        <w:sz w:val="20"/>
        <w:szCs w:val="20"/>
      </w:rPr>
      <w:t>Basis</w:t>
    </w:r>
    <w:r w:rsidR="00AA7D36">
      <w:rPr>
        <w:b/>
        <w:sz w:val="20"/>
        <w:szCs w:val="20"/>
      </w:rPr>
      <w:t>fach</w:t>
    </w:r>
  </w:p>
  <w:p w14:paraId="0302D10F" w14:textId="77777777" w:rsidR="002572E0" w:rsidRPr="00095CC0" w:rsidRDefault="00180CEA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2A69523" wp14:editId="4BB3FECF">
              <wp:simplePos x="0" y="0"/>
              <wp:positionH relativeFrom="column">
                <wp:posOffset>-42545</wp:posOffset>
              </wp:positionH>
              <wp:positionV relativeFrom="paragraph">
                <wp:posOffset>31114</wp:posOffset>
              </wp:positionV>
              <wp:extent cx="5248275" cy="0"/>
              <wp:effectExtent l="0" t="0" r="9525" b="19050"/>
              <wp:wrapNone/>
              <wp:docPr id="19" name="Gerade Verbindung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4F1F" id="Gerade Verbindung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DB8"/>
    <w:multiLevelType w:val="hybridMultilevel"/>
    <w:tmpl w:val="C2884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4F7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0A6"/>
    <w:multiLevelType w:val="hybridMultilevel"/>
    <w:tmpl w:val="7526CC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9A"/>
    <w:multiLevelType w:val="hybridMultilevel"/>
    <w:tmpl w:val="35FECF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3AB8"/>
    <w:multiLevelType w:val="hybridMultilevel"/>
    <w:tmpl w:val="AA7E44D6"/>
    <w:lvl w:ilvl="0" w:tplc="E29E4C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85B"/>
    <w:multiLevelType w:val="hybridMultilevel"/>
    <w:tmpl w:val="182EE160"/>
    <w:lvl w:ilvl="0" w:tplc="48CC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FB1"/>
    <w:multiLevelType w:val="hybridMultilevel"/>
    <w:tmpl w:val="5DB459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E20"/>
    <w:multiLevelType w:val="hybridMultilevel"/>
    <w:tmpl w:val="A828B3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D09"/>
    <w:multiLevelType w:val="hybridMultilevel"/>
    <w:tmpl w:val="70480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76D4E"/>
    <w:multiLevelType w:val="hybridMultilevel"/>
    <w:tmpl w:val="35FECF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1621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473D"/>
    <w:multiLevelType w:val="hybridMultilevel"/>
    <w:tmpl w:val="881C0ACA"/>
    <w:lvl w:ilvl="0" w:tplc="48CC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0DFD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067DA"/>
    <w:multiLevelType w:val="hybridMultilevel"/>
    <w:tmpl w:val="A2A8A7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0D25"/>
    <w:multiLevelType w:val="hybridMultilevel"/>
    <w:tmpl w:val="03367C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033E3"/>
    <w:multiLevelType w:val="hybridMultilevel"/>
    <w:tmpl w:val="8DA223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A55B4"/>
    <w:multiLevelType w:val="hybridMultilevel"/>
    <w:tmpl w:val="3DAE905C"/>
    <w:lvl w:ilvl="0" w:tplc="0407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7" w15:restartNumberingAfterBreak="0">
    <w:nsid w:val="5DC81945"/>
    <w:multiLevelType w:val="hybridMultilevel"/>
    <w:tmpl w:val="77AEBB1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73DD1"/>
    <w:multiLevelType w:val="hybridMultilevel"/>
    <w:tmpl w:val="1AA226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21344"/>
    <w:multiLevelType w:val="hybridMultilevel"/>
    <w:tmpl w:val="7CDC76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076B2"/>
    <w:multiLevelType w:val="hybridMultilevel"/>
    <w:tmpl w:val="AE824BC6"/>
    <w:lvl w:ilvl="0" w:tplc="EABCB3E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9508C1"/>
    <w:multiLevelType w:val="hybridMultilevel"/>
    <w:tmpl w:val="EF86A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519F9"/>
    <w:multiLevelType w:val="hybridMultilevel"/>
    <w:tmpl w:val="44168F7A"/>
    <w:lvl w:ilvl="0" w:tplc="CF64A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"/>
  </w:num>
  <w:num w:numId="5">
    <w:abstractNumId w:val="19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21"/>
  </w:num>
  <w:num w:numId="12">
    <w:abstractNumId w:val="0"/>
  </w:num>
  <w:num w:numId="13">
    <w:abstractNumId w:val="20"/>
  </w:num>
  <w:num w:numId="14">
    <w:abstractNumId w:val="22"/>
  </w:num>
  <w:num w:numId="15">
    <w:abstractNumId w:val="4"/>
  </w:num>
  <w:num w:numId="16">
    <w:abstractNumId w:val="9"/>
  </w:num>
  <w:num w:numId="17">
    <w:abstractNumId w:val="15"/>
  </w:num>
  <w:num w:numId="18">
    <w:abstractNumId w:val="3"/>
  </w:num>
  <w:num w:numId="19">
    <w:abstractNumId w:val="10"/>
  </w:num>
  <w:num w:numId="20">
    <w:abstractNumId w:val="12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D"/>
    <w:rsid w:val="00024DE6"/>
    <w:rsid w:val="00066FE0"/>
    <w:rsid w:val="00081D44"/>
    <w:rsid w:val="00093EA4"/>
    <w:rsid w:val="00095CC0"/>
    <w:rsid w:val="00097073"/>
    <w:rsid w:val="000B47AD"/>
    <w:rsid w:val="000D0166"/>
    <w:rsid w:val="000D0A9F"/>
    <w:rsid w:val="000D749B"/>
    <w:rsid w:val="000F69FF"/>
    <w:rsid w:val="00101853"/>
    <w:rsid w:val="00123DC7"/>
    <w:rsid w:val="001306F3"/>
    <w:rsid w:val="00140FAC"/>
    <w:rsid w:val="0016349C"/>
    <w:rsid w:val="00180CEA"/>
    <w:rsid w:val="001814BD"/>
    <w:rsid w:val="001939AC"/>
    <w:rsid w:val="001D5FFD"/>
    <w:rsid w:val="001F1827"/>
    <w:rsid w:val="002016B1"/>
    <w:rsid w:val="00204C48"/>
    <w:rsid w:val="00207FAE"/>
    <w:rsid w:val="00242994"/>
    <w:rsid w:val="00243FCB"/>
    <w:rsid w:val="002572E0"/>
    <w:rsid w:val="0026369A"/>
    <w:rsid w:val="00272B8B"/>
    <w:rsid w:val="0027733B"/>
    <w:rsid w:val="002A149F"/>
    <w:rsid w:val="002C5564"/>
    <w:rsid w:val="002D026D"/>
    <w:rsid w:val="002D6C7A"/>
    <w:rsid w:val="0031043D"/>
    <w:rsid w:val="00340286"/>
    <w:rsid w:val="003444EA"/>
    <w:rsid w:val="0037010C"/>
    <w:rsid w:val="00376D6F"/>
    <w:rsid w:val="00387806"/>
    <w:rsid w:val="003C319A"/>
    <w:rsid w:val="003C52C7"/>
    <w:rsid w:val="003D514D"/>
    <w:rsid w:val="00400E82"/>
    <w:rsid w:val="00437C98"/>
    <w:rsid w:val="004555E9"/>
    <w:rsid w:val="00475E26"/>
    <w:rsid w:val="004B2E01"/>
    <w:rsid w:val="004C143F"/>
    <w:rsid w:val="00504E3A"/>
    <w:rsid w:val="00507999"/>
    <w:rsid w:val="005120CC"/>
    <w:rsid w:val="00525AFA"/>
    <w:rsid w:val="00561AE0"/>
    <w:rsid w:val="005625E5"/>
    <w:rsid w:val="005929B7"/>
    <w:rsid w:val="00594C29"/>
    <w:rsid w:val="005F1FF3"/>
    <w:rsid w:val="005F227C"/>
    <w:rsid w:val="006659EF"/>
    <w:rsid w:val="006D24E1"/>
    <w:rsid w:val="007027D2"/>
    <w:rsid w:val="007202A0"/>
    <w:rsid w:val="00726597"/>
    <w:rsid w:val="00750F96"/>
    <w:rsid w:val="00753428"/>
    <w:rsid w:val="00753A45"/>
    <w:rsid w:val="00760F76"/>
    <w:rsid w:val="00770D83"/>
    <w:rsid w:val="00772D41"/>
    <w:rsid w:val="007C7556"/>
    <w:rsid w:val="00813380"/>
    <w:rsid w:val="00815E0E"/>
    <w:rsid w:val="0081747F"/>
    <w:rsid w:val="00821DC0"/>
    <w:rsid w:val="00832A7C"/>
    <w:rsid w:val="0083301F"/>
    <w:rsid w:val="008523B9"/>
    <w:rsid w:val="00861F3B"/>
    <w:rsid w:val="008664BF"/>
    <w:rsid w:val="00873F23"/>
    <w:rsid w:val="00882FA0"/>
    <w:rsid w:val="0089016C"/>
    <w:rsid w:val="00911A22"/>
    <w:rsid w:val="00921808"/>
    <w:rsid w:val="0093080C"/>
    <w:rsid w:val="0093234F"/>
    <w:rsid w:val="00935C81"/>
    <w:rsid w:val="00961236"/>
    <w:rsid w:val="00962833"/>
    <w:rsid w:val="00966E4B"/>
    <w:rsid w:val="009671CF"/>
    <w:rsid w:val="009A18B1"/>
    <w:rsid w:val="009A1FDC"/>
    <w:rsid w:val="009D5E27"/>
    <w:rsid w:val="009F5E12"/>
    <w:rsid w:val="00A124E7"/>
    <w:rsid w:val="00A35807"/>
    <w:rsid w:val="00A37CA6"/>
    <w:rsid w:val="00A448A7"/>
    <w:rsid w:val="00A539E8"/>
    <w:rsid w:val="00A9368A"/>
    <w:rsid w:val="00AA562C"/>
    <w:rsid w:val="00AA6449"/>
    <w:rsid w:val="00AA7D36"/>
    <w:rsid w:val="00AC5239"/>
    <w:rsid w:val="00AD21B7"/>
    <w:rsid w:val="00AE06E3"/>
    <w:rsid w:val="00AE3A00"/>
    <w:rsid w:val="00B05156"/>
    <w:rsid w:val="00B17A59"/>
    <w:rsid w:val="00B63251"/>
    <w:rsid w:val="00B95322"/>
    <w:rsid w:val="00BB2B29"/>
    <w:rsid w:val="00BB336E"/>
    <w:rsid w:val="00BB69F4"/>
    <w:rsid w:val="00BD5886"/>
    <w:rsid w:val="00BD597E"/>
    <w:rsid w:val="00C06682"/>
    <w:rsid w:val="00C12092"/>
    <w:rsid w:val="00C13EE9"/>
    <w:rsid w:val="00C33C39"/>
    <w:rsid w:val="00C35729"/>
    <w:rsid w:val="00C40F89"/>
    <w:rsid w:val="00C420A0"/>
    <w:rsid w:val="00C61EA1"/>
    <w:rsid w:val="00C64850"/>
    <w:rsid w:val="00C721C4"/>
    <w:rsid w:val="00C770A4"/>
    <w:rsid w:val="00CA7E7A"/>
    <w:rsid w:val="00CB1D24"/>
    <w:rsid w:val="00CD078C"/>
    <w:rsid w:val="00D16A6C"/>
    <w:rsid w:val="00D271DA"/>
    <w:rsid w:val="00D32069"/>
    <w:rsid w:val="00D36E19"/>
    <w:rsid w:val="00D372CC"/>
    <w:rsid w:val="00D8463C"/>
    <w:rsid w:val="00D979E9"/>
    <w:rsid w:val="00DA098C"/>
    <w:rsid w:val="00DA4A4F"/>
    <w:rsid w:val="00DA5797"/>
    <w:rsid w:val="00DB3BA8"/>
    <w:rsid w:val="00DD5419"/>
    <w:rsid w:val="00DD69B3"/>
    <w:rsid w:val="00DD79E6"/>
    <w:rsid w:val="00DF420F"/>
    <w:rsid w:val="00DF6B2C"/>
    <w:rsid w:val="00E01C0F"/>
    <w:rsid w:val="00E050C7"/>
    <w:rsid w:val="00E216B3"/>
    <w:rsid w:val="00E337FB"/>
    <w:rsid w:val="00E454B4"/>
    <w:rsid w:val="00E469A5"/>
    <w:rsid w:val="00E62E01"/>
    <w:rsid w:val="00E75BC2"/>
    <w:rsid w:val="00EA276C"/>
    <w:rsid w:val="00F05EB4"/>
    <w:rsid w:val="00F2392E"/>
    <w:rsid w:val="00F56B73"/>
    <w:rsid w:val="00F627C2"/>
    <w:rsid w:val="00F833DB"/>
    <w:rsid w:val="00F83DD9"/>
    <w:rsid w:val="00F96FAE"/>
    <w:rsid w:val="00FA7D9B"/>
    <w:rsid w:val="00FB222E"/>
    <w:rsid w:val="00FB30B7"/>
    <w:rsid w:val="00FB612B"/>
    <w:rsid w:val="00FC51C0"/>
    <w:rsid w:val="00FD1847"/>
    <w:rsid w:val="00FE2500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7AF32"/>
  <w15:docId w15:val="{4C9A5445-54C8-48C3-B480-B2F50742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Liste21">
    <w:name w:val="Mittlere Liste 21"/>
    <w:basedOn w:val="NormaleTabelle"/>
    <w:uiPriority w:val="66"/>
    <w:rsid w:val="000D0A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050C7"/>
    <w:rPr>
      <w:color w:val="808080"/>
    </w:rPr>
  </w:style>
  <w:style w:type="paragraph" w:styleId="Listenabsatz">
    <w:name w:val="List Paragraph"/>
    <w:basedOn w:val="Standard"/>
    <w:uiPriority w:val="34"/>
    <w:qFormat/>
    <w:rsid w:val="00D979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2E0"/>
  </w:style>
  <w:style w:type="paragraph" w:styleId="Fuzeile">
    <w:name w:val="footer"/>
    <w:basedOn w:val="Standard"/>
    <w:link w:val="FuzeileZchn"/>
    <w:uiPriority w:val="99"/>
    <w:unhideWhenUsed/>
    <w:rsid w:val="002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2E0"/>
  </w:style>
  <w:style w:type="character" w:styleId="Kommentarzeichen">
    <w:name w:val="annotation reference"/>
    <w:basedOn w:val="Absatz-Standardschriftart"/>
    <w:uiPriority w:val="99"/>
    <w:semiHidden/>
    <w:unhideWhenUsed/>
    <w:rsid w:val="00C648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8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8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8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50A14AB-7CED-47F7-84BC-7FA0EF3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NV-Übung Schuhgrößen</vt:lpstr>
    </vt:vector>
  </TitlesOfParts>
  <Company>IhreFirma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NV-Übung Schuhgrößen</dc:title>
  <dc:creator>Bernhard Groß-Schmitt;Claudia Uhl</dc:creator>
  <cp:lastModifiedBy>Bernhard Groß-Schmitt</cp:lastModifiedBy>
  <cp:revision>3</cp:revision>
  <cp:lastPrinted>2019-01-23T08:32:00Z</cp:lastPrinted>
  <dcterms:created xsi:type="dcterms:W3CDTF">2019-01-23T08:32:00Z</dcterms:created>
  <dcterms:modified xsi:type="dcterms:W3CDTF">2019-01-23T08:33:00Z</dcterms:modified>
</cp:coreProperties>
</file>