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E3E99" w:rsidRPr="00387077" w:rsidRDefault="00CE3E99" w:rsidP="00CE3E99">
      <w:pPr>
        <w:rPr>
          <w:b/>
        </w:rPr>
      </w:pPr>
      <w:r w:rsidRPr="00387077">
        <w:rPr>
          <w:b/>
        </w:rPr>
        <w:t>Vertiefungskurs Mathematik</w:t>
      </w:r>
    </w:p>
    <w:p w:rsidR="00CE3E99" w:rsidRPr="00387077" w:rsidRDefault="00955355" w:rsidP="00CE3E99">
      <w:pPr>
        <w:pStyle w:val="berschrift1"/>
        <w:spacing w:after="240"/>
        <w:jc w:val="center"/>
        <w:rPr>
          <w:b w:val="0"/>
        </w:rPr>
      </w:pPr>
      <w:r>
        <w:t>Folgen</w:t>
      </w:r>
    </w:p>
    <w:p w:rsidR="004E0EAC" w:rsidRDefault="004E0EAC" w:rsidP="00955355">
      <w:pPr>
        <w:spacing w:after="0"/>
        <w:rPr>
          <w:szCs w:val="24"/>
        </w:rPr>
      </w:pPr>
      <w:r w:rsidRPr="001A74D6">
        <w:rPr>
          <w:szCs w:val="24"/>
        </w:rPr>
        <w:t>Im Vorschlag zur Umsetzung des BP tauch</w:t>
      </w:r>
      <w:r w:rsidR="00955355">
        <w:rPr>
          <w:szCs w:val="24"/>
        </w:rPr>
        <w:t>en</w:t>
      </w:r>
      <w:r w:rsidRPr="001A74D6">
        <w:rPr>
          <w:szCs w:val="24"/>
        </w:rPr>
        <w:t xml:space="preserve"> die </w:t>
      </w:r>
      <w:r w:rsidR="00955355">
        <w:rPr>
          <w:szCs w:val="24"/>
        </w:rPr>
        <w:t xml:space="preserve">Folgen im Abschnitt </w:t>
      </w:r>
      <w:r w:rsidR="00955355">
        <w:rPr>
          <w:i/>
          <w:szCs w:val="24"/>
        </w:rPr>
        <w:t>3. Folgen und Reihen</w:t>
      </w:r>
      <w:r w:rsidR="00955355">
        <w:rPr>
          <w:szCs w:val="24"/>
        </w:rPr>
        <w:t> auf. Dort sind die Inhalte</w:t>
      </w:r>
    </w:p>
    <w:p w:rsidR="00955355" w:rsidRPr="00955355" w:rsidRDefault="00955355" w:rsidP="00955355">
      <w:pPr>
        <w:pStyle w:val="Listenabsatz"/>
        <w:numPr>
          <w:ilvl w:val="0"/>
          <w:numId w:val="3"/>
        </w:numPr>
        <w:spacing w:after="0"/>
        <w:rPr>
          <w:szCs w:val="24"/>
        </w:rPr>
      </w:pPr>
      <w:r w:rsidRPr="00955355">
        <w:rPr>
          <w:szCs w:val="24"/>
        </w:rPr>
        <w:t>explizite und rekursive Folgen</w:t>
      </w:r>
    </w:p>
    <w:p w:rsidR="00955355" w:rsidRPr="00955355" w:rsidRDefault="00955355" w:rsidP="00955355">
      <w:pPr>
        <w:pStyle w:val="Listenabsatz"/>
        <w:numPr>
          <w:ilvl w:val="0"/>
          <w:numId w:val="3"/>
        </w:numPr>
        <w:spacing w:after="0"/>
        <w:rPr>
          <w:szCs w:val="24"/>
        </w:rPr>
      </w:pPr>
      <w:r w:rsidRPr="00955355">
        <w:rPr>
          <w:szCs w:val="24"/>
        </w:rPr>
        <w:t>arithmetische und geometrische Folgen und Reihen</w:t>
      </w:r>
    </w:p>
    <w:p w:rsidR="00955355" w:rsidRPr="00955355" w:rsidRDefault="00955355" w:rsidP="00955355">
      <w:pPr>
        <w:pStyle w:val="Listenabsatz"/>
        <w:numPr>
          <w:ilvl w:val="0"/>
          <w:numId w:val="3"/>
        </w:numPr>
        <w:spacing w:after="0"/>
        <w:rPr>
          <w:szCs w:val="24"/>
        </w:rPr>
      </w:pPr>
      <w:r w:rsidRPr="00955355">
        <w:rPr>
          <w:szCs w:val="24"/>
        </w:rPr>
        <w:t>Monotonie, Beschränktheit, Konvergenz, Konvergenzsätze</w:t>
      </w:r>
    </w:p>
    <w:p w:rsidR="00F551C2" w:rsidRDefault="00955355" w:rsidP="004E0EAC">
      <w:pPr>
        <w:rPr>
          <w:iCs/>
          <w:szCs w:val="24"/>
        </w:rPr>
      </w:pPr>
      <w:r>
        <w:rPr>
          <w:iCs/>
          <w:szCs w:val="24"/>
        </w:rPr>
        <w:t xml:space="preserve">aufgeführt. </w:t>
      </w:r>
    </w:p>
    <w:p w:rsidR="00955355" w:rsidRDefault="00F551C2" w:rsidP="004E0EAC">
      <w:pPr>
        <w:rPr>
          <w:iCs/>
          <w:szCs w:val="24"/>
        </w:rPr>
      </w:pPr>
      <w:r>
        <w:rPr>
          <w:iCs/>
          <w:szCs w:val="24"/>
        </w:rPr>
        <w:t xml:space="preserve">Das Thema </w:t>
      </w:r>
      <w:r w:rsidR="00955355">
        <w:rPr>
          <w:iCs/>
          <w:szCs w:val="24"/>
        </w:rPr>
        <w:t xml:space="preserve">Reihen </w:t>
      </w:r>
      <w:r>
        <w:rPr>
          <w:iCs/>
          <w:szCs w:val="24"/>
        </w:rPr>
        <w:t>ist</w:t>
      </w:r>
      <w:r w:rsidR="00955355">
        <w:rPr>
          <w:iCs/>
          <w:szCs w:val="24"/>
        </w:rPr>
        <w:t xml:space="preserve"> nicht für die Zertifikatsklausur relevant. </w:t>
      </w:r>
      <w:r>
        <w:rPr>
          <w:iCs/>
          <w:szCs w:val="24"/>
        </w:rPr>
        <w:t>Es</w:t>
      </w:r>
      <w:r w:rsidR="00955355">
        <w:rPr>
          <w:iCs/>
          <w:szCs w:val="24"/>
        </w:rPr>
        <w:t xml:space="preserve"> schließ</w:t>
      </w:r>
      <w:r>
        <w:rPr>
          <w:iCs/>
          <w:szCs w:val="24"/>
        </w:rPr>
        <w:t>t</w:t>
      </w:r>
      <w:r w:rsidR="00955355">
        <w:rPr>
          <w:iCs/>
          <w:szCs w:val="24"/>
        </w:rPr>
        <w:t xml:space="preserve"> sich zwar gut an das Thema Folgen an, insbesondere die arithmetischen und geometrischen Reihen. Andererseits ist die Zeit in der Jahrgangsstufe 11 relativ knapp und wenn man in Jahrgangsstufe </w:t>
      </w:r>
      <w:r>
        <w:rPr>
          <w:iCs/>
          <w:szCs w:val="24"/>
        </w:rPr>
        <w:t>1</w:t>
      </w:r>
      <w:r w:rsidR="00955355">
        <w:rPr>
          <w:iCs/>
          <w:szCs w:val="24"/>
        </w:rPr>
        <w:t xml:space="preserve">2 </w:t>
      </w:r>
      <w:r>
        <w:rPr>
          <w:iCs/>
          <w:szCs w:val="24"/>
        </w:rPr>
        <w:t>die</w:t>
      </w:r>
      <w:r w:rsidR="00955355">
        <w:rPr>
          <w:iCs/>
          <w:szCs w:val="24"/>
        </w:rPr>
        <w:t xml:space="preserve"> Taylor-Reihen behandeln möchte, fügen sich die Reihen</w:t>
      </w:r>
      <w:r>
        <w:rPr>
          <w:iCs/>
          <w:szCs w:val="24"/>
        </w:rPr>
        <w:t xml:space="preserve"> auch</w:t>
      </w:r>
      <w:r w:rsidR="00955355">
        <w:rPr>
          <w:iCs/>
          <w:szCs w:val="24"/>
        </w:rPr>
        <w:t xml:space="preserve"> hier passend ein. Der</w:t>
      </w:r>
      <w:r>
        <w:rPr>
          <w:iCs/>
          <w:szCs w:val="24"/>
        </w:rPr>
        <w:t xml:space="preserve"> vorgestellte Unterrichtsgang</w:t>
      </w:r>
      <w:r w:rsidR="00955355">
        <w:rPr>
          <w:iCs/>
          <w:szCs w:val="24"/>
        </w:rPr>
        <w:t xml:space="preserve"> geht diesen Weg.</w:t>
      </w:r>
    </w:p>
    <w:p w:rsidR="00955355" w:rsidRDefault="00955355" w:rsidP="004E0EAC">
      <w:pPr>
        <w:rPr>
          <w:iCs/>
          <w:szCs w:val="24"/>
        </w:rPr>
      </w:pPr>
      <w:r>
        <w:rPr>
          <w:iCs/>
          <w:szCs w:val="24"/>
        </w:rPr>
        <w:t xml:space="preserve">Eine </w:t>
      </w:r>
      <w:r w:rsidRPr="002B1AA9">
        <w:rPr>
          <w:b/>
          <w:iCs/>
          <w:szCs w:val="24"/>
        </w:rPr>
        <w:t>Folge</w:t>
      </w:r>
      <w:r>
        <w:rPr>
          <w:iCs/>
          <w:szCs w:val="24"/>
        </w:rPr>
        <w:t xml:space="preserve"> ist als eine Funktion definiert, deren Definitionsmenge eine Teilmenge der natürlichen Zahlen ist. Bei den </w:t>
      </w:r>
      <w:r w:rsidR="000C65F2">
        <w:rPr>
          <w:iCs/>
          <w:szCs w:val="24"/>
        </w:rPr>
        <w:t xml:space="preserve">im Unterricht </w:t>
      </w:r>
      <w:r>
        <w:rPr>
          <w:iCs/>
          <w:szCs w:val="24"/>
        </w:rPr>
        <w:t xml:space="preserve">auftretenden Folgen ist die Definitionsmenge in der Regel </w:t>
      </w:r>
      <w:r w:rsidRPr="00B02FEC">
        <w:rPr>
          <w:iCs/>
          <w:spacing w:val="-24"/>
          <w:szCs w:val="24"/>
        </w:rPr>
        <w:t>IN</w:t>
      </w:r>
      <w:r>
        <w:rPr>
          <w:iCs/>
          <w:szCs w:val="24"/>
        </w:rPr>
        <w:t xml:space="preserve"> selbst. Die übliche Schreibweise ist (a</w:t>
      </w:r>
      <w:r>
        <w:rPr>
          <w:iCs/>
          <w:szCs w:val="24"/>
          <w:vertAlign w:val="subscript"/>
        </w:rPr>
        <w:t>n</w:t>
      </w:r>
      <w:r>
        <w:rPr>
          <w:iCs/>
          <w:szCs w:val="24"/>
        </w:rPr>
        <w:t xml:space="preserve">) statt f(n) </w:t>
      </w:r>
      <w:r w:rsidR="00B02FEC">
        <w:rPr>
          <w:iCs/>
          <w:szCs w:val="24"/>
        </w:rPr>
        <w:t xml:space="preserve">für ein sogenanntes Gliede der Folge </w:t>
      </w:r>
      <w:r>
        <w:rPr>
          <w:iCs/>
          <w:szCs w:val="24"/>
        </w:rPr>
        <w:t>sowie (a</w:t>
      </w:r>
      <w:r>
        <w:rPr>
          <w:iCs/>
          <w:szCs w:val="24"/>
          <w:vertAlign w:val="subscript"/>
        </w:rPr>
        <w:t>n</w:t>
      </w:r>
      <w:r>
        <w:rPr>
          <w:iCs/>
          <w:szCs w:val="24"/>
        </w:rPr>
        <w:t>)</w:t>
      </w:r>
      <w:r>
        <w:rPr>
          <w:iCs/>
          <w:szCs w:val="24"/>
          <w:vertAlign w:val="subscript"/>
        </w:rPr>
        <w:t>n</w:t>
      </w:r>
      <w:r w:rsidRPr="00955355">
        <w:rPr>
          <w:iCs/>
          <w:szCs w:val="24"/>
          <w:vertAlign w:val="subscript"/>
        </w:rPr>
        <w:sym w:font="Symbol" w:char="F0CE"/>
      </w:r>
      <w:r w:rsidRPr="00955355">
        <w:rPr>
          <w:iCs/>
          <w:szCs w:val="24"/>
          <w:vertAlign w:val="subscript"/>
        </w:rPr>
        <w:t>IN</w:t>
      </w:r>
      <w:r>
        <w:rPr>
          <w:iCs/>
          <w:szCs w:val="24"/>
          <w:vertAlign w:val="subscript"/>
        </w:rPr>
        <w:t xml:space="preserve">  </w:t>
      </w:r>
      <w:r>
        <w:rPr>
          <w:iCs/>
          <w:szCs w:val="24"/>
        </w:rPr>
        <w:t xml:space="preserve">für die Folge selbst. </w:t>
      </w:r>
      <w:r w:rsidR="00B02FEC">
        <w:rPr>
          <w:iCs/>
          <w:szCs w:val="24"/>
        </w:rPr>
        <w:t>Das erste Glied ist somit a</w:t>
      </w:r>
      <w:r w:rsidR="00B02FEC">
        <w:rPr>
          <w:iCs/>
          <w:szCs w:val="24"/>
          <w:vertAlign w:val="subscript"/>
        </w:rPr>
        <w:t>0</w:t>
      </w:r>
      <w:r w:rsidR="00B02FEC">
        <w:rPr>
          <w:iCs/>
          <w:szCs w:val="24"/>
        </w:rPr>
        <w:t xml:space="preserve"> bzw. a</w:t>
      </w:r>
      <w:r w:rsidR="00B02FEC">
        <w:rPr>
          <w:iCs/>
          <w:szCs w:val="24"/>
          <w:vertAlign w:val="subscript"/>
        </w:rPr>
        <w:t>1</w:t>
      </w:r>
      <w:r w:rsidR="00B02FEC">
        <w:rPr>
          <w:iCs/>
          <w:szCs w:val="24"/>
        </w:rPr>
        <w:t>, je nachdem</w:t>
      </w:r>
      <w:r w:rsidR="00147D45">
        <w:rPr>
          <w:iCs/>
          <w:szCs w:val="24"/>
        </w:rPr>
        <w:t>, welches die erste natürliche Zahl ist. In der Schule ist die Definition</w:t>
      </w:r>
      <w:r w:rsidR="00090179">
        <w:rPr>
          <w:iCs/>
          <w:szCs w:val="24"/>
        </w:rPr>
        <w:t xml:space="preserve"> </w:t>
      </w:r>
      <w:r w:rsidR="00090179" w:rsidRPr="00090179">
        <w:rPr>
          <w:iCs/>
          <w:spacing w:val="-26"/>
          <w:szCs w:val="24"/>
        </w:rPr>
        <w:t>IN</w:t>
      </w:r>
      <w:r w:rsidR="00090179">
        <w:rPr>
          <w:iCs/>
          <w:szCs w:val="24"/>
        </w:rPr>
        <w:t xml:space="preserve"> = {0; 1; 2; …} üblich.</w:t>
      </w:r>
      <w:r w:rsidR="00147D45">
        <w:rPr>
          <w:iCs/>
          <w:szCs w:val="24"/>
        </w:rPr>
        <w:t xml:space="preserve"> </w:t>
      </w:r>
      <w:r w:rsidR="00090179">
        <w:rPr>
          <w:iCs/>
          <w:szCs w:val="24"/>
        </w:rPr>
        <w:t>Allerdings ist dann bei vielen Folgen</w:t>
      </w:r>
      <w:r w:rsidR="000D6FBB">
        <w:rPr>
          <w:iCs/>
          <w:szCs w:val="24"/>
        </w:rPr>
        <w:t xml:space="preserve"> die</w:t>
      </w:r>
      <w:r w:rsidR="00090179">
        <w:rPr>
          <w:iCs/>
          <w:szCs w:val="24"/>
        </w:rPr>
        <w:t xml:space="preserve"> Einschränkung n </w:t>
      </w:r>
      <w:r w:rsidR="00090179">
        <w:rPr>
          <w:iCs/>
          <w:szCs w:val="24"/>
        </w:rPr>
        <w:sym w:font="Symbol" w:char="F0B3"/>
      </w:r>
      <w:r w:rsidR="00090179">
        <w:rPr>
          <w:iCs/>
          <w:szCs w:val="24"/>
        </w:rPr>
        <w:t xml:space="preserve"> 1 notwendig. Dies gilt schon für die „Standard-Nullfolge“ a</w:t>
      </w:r>
      <w:r w:rsidR="00090179">
        <w:rPr>
          <w:iCs/>
          <w:szCs w:val="24"/>
          <w:vertAlign w:val="subscript"/>
        </w:rPr>
        <w:t>n</w:t>
      </w:r>
      <w:r w:rsidR="00090179">
        <w:rPr>
          <w:iCs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Cs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Cs w:val="24"/>
              </w:rPr>
              <m:t>n</m:t>
            </m:r>
          </m:den>
        </m:f>
      </m:oMath>
      <w:r w:rsidR="00090179">
        <w:rPr>
          <w:iCs/>
          <w:szCs w:val="24"/>
        </w:rPr>
        <w:t xml:space="preserve"> . Wenn man 0 nicht als natürliche Zahl ansieht, muss man dies den SuS transparent machen, und darauf hinweisen, dass die Mathematiker*innen hier unterschiedliche Definitionen verwenden.</w:t>
      </w:r>
    </w:p>
    <w:p w:rsidR="00090179" w:rsidRDefault="00090179" w:rsidP="004E0EAC">
      <w:pPr>
        <w:rPr>
          <w:iCs/>
          <w:szCs w:val="24"/>
        </w:rPr>
      </w:pPr>
      <w:r>
        <w:rPr>
          <w:iCs/>
          <w:szCs w:val="24"/>
        </w:rPr>
        <w:t xml:space="preserve">Neben der </w:t>
      </w:r>
      <w:r w:rsidRPr="002B1AA9">
        <w:rPr>
          <w:b/>
          <w:iCs/>
          <w:szCs w:val="24"/>
        </w:rPr>
        <w:t>expliziten</w:t>
      </w:r>
      <w:r>
        <w:rPr>
          <w:iCs/>
          <w:szCs w:val="24"/>
        </w:rPr>
        <w:t xml:space="preserve"> </w:t>
      </w:r>
      <w:r w:rsidRPr="002B1AA9">
        <w:rPr>
          <w:b/>
          <w:iCs/>
          <w:szCs w:val="24"/>
        </w:rPr>
        <w:t>Beschreibung</w:t>
      </w:r>
      <w:r>
        <w:rPr>
          <w:iCs/>
          <w:szCs w:val="24"/>
        </w:rPr>
        <w:t xml:space="preserve"> von Folgen, die der üblichen Beschreibung einer Funktion mithilfe eines Terms entspricht und deshalb den </w:t>
      </w:r>
      <w:proofErr w:type="spellStart"/>
      <w:r>
        <w:rPr>
          <w:iCs/>
          <w:szCs w:val="24"/>
        </w:rPr>
        <w:t>SuS</w:t>
      </w:r>
      <w:proofErr w:type="spellEnd"/>
      <w:r>
        <w:rPr>
          <w:iCs/>
          <w:szCs w:val="24"/>
        </w:rPr>
        <w:t xml:space="preserve"> bekannt ist, ist die </w:t>
      </w:r>
      <w:r w:rsidRPr="002B1AA9">
        <w:rPr>
          <w:b/>
          <w:iCs/>
          <w:szCs w:val="24"/>
        </w:rPr>
        <w:t>rekursive</w:t>
      </w:r>
      <w:r>
        <w:rPr>
          <w:iCs/>
          <w:szCs w:val="24"/>
        </w:rPr>
        <w:t xml:space="preserve"> </w:t>
      </w:r>
      <w:r w:rsidRPr="002B1AA9">
        <w:rPr>
          <w:b/>
          <w:iCs/>
          <w:szCs w:val="24"/>
        </w:rPr>
        <w:t>Beschreibung</w:t>
      </w:r>
      <w:r>
        <w:rPr>
          <w:iCs/>
          <w:szCs w:val="24"/>
        </w:rPr>
        <w:t xml:space="preserve"> wichtig. </w:t>
      </w:r>
      <w:r w:rsidR="003722CA">
        <w:rPr>
          <w:iCs/>
          <w:szCs w:val="24"/>
        </w:rPr>
        <w:t>Damit</w:t>
      </w:r>
      <w:r>
        <w:rPr>
          <w:iCs/>
          <w:szCs w:val="24"/>
        </w:rPr>
        <w:t xml:space="preserve"> ist die Umwandlung von der einen in die andere Darstellung ein Thema für den Unterricht, bei dem auch </w:t>
      </w:r>
      <w:r w:rsidR="003722CA">
        <w:rPr>
          <w:iCs/>
          <w:szCs w:val="24"/>
        </w:rPr>
        <w:t xml:space="preserve">einschlägige </w:t>
      </w:r>
      <w:r>
        <w:rPr>
          <w:iCs/>
          <w:szCs w:val="24"/>
        </w:rPr>
        <w:t>Strategien diskutiert werden können.</w:t>
      </w:r>
    </w:p>
    <w:p w:rsidR="00090179" w:rsidRDefault="00090179" w:rsidP="00885DF1">
      <w:pPr>
        <w:spacing w:after="60"/>
        <w:rPr>
          <w:iCs/>
          <w:szCs w:val="24"/>
        </w:rPr>
      </w:pPr>
      <w:r>
        <w:rPr>
          <w:iCs/>
          <w:szCs w:val="24"/>
        </w:rPr>
        <w:t xml:space="preserve">Wichtige Folgentypen sind die </w:t>
      </w:r>
      <w:r w:rsidRPr="002B1AA9">
        <w:rPr>
          <w:b/>
          <w:iCs/>
          <w:szCs w:val="24"/>
        </w:rPr>
        <w:t>arithmetischen</w:t>
      </w:r>
      <w:r>
        <w:rPr>
          <w:iCs/>
          <w:szCs w:val="24"/>
        </w:rPr>
        <w:t xml:space="preserve"> und die </w:t>
      </w:r>
      <w:r w:rsidRPr="002B1AA9">
        <w:rPr>
          <w:b/>
          <w:iCs/>
          <w:szCs w:val="24"/>
        </w:rPr>
        <w:t>geometrischen</w:t>
      </w:r>
      <w:r>
        <w:rPr>
          <w:iCs/>
          <w:szCs w:val="24"/>
        </w:rPr>
        <w:t xml:space="preserve"> </w:t>
      </w:r>
      <w:r w:rsidRPr="002B1AA9">
        <w:rPr>
          <w:b/>
          <w:iCs/>
          <w:szCs w:val="24"/>
        </w:rPr>
        <w:t>Folgen</w:t>
      </w:r>
      <w:r>
        <w:rPr>
          <w:iCs/>
          <w:szCs w:val="24"/>
        </w:rPr>
        <w:t>. Bei ersteren ist die Differenz zweier aufeinanderfolgender Glieder konstant, bei letzteren der Quotient. Man erhält die Darstellungen:</w:t>
      </w:r>
    </w:p>
    <w:p w:rsidR="00090179" w:rsidRDefault="00090179" w:rsidP="00090179">
      <w:pPr>
        <w:pStyle w:val="Listenabsatz"/>
        <w:numPr>
          <w:ilvl w:val="0"/>
          <w:numId w:val="4"/>
        </w:numPr>
        <w:rPr>
          <w:iCs/>
          <w:szCs w:val="24"/>
        </w:rPr>
      </w:pPr>
      <w:r>
        <w:rPr>
          <w:iCs/>
          <w:szCs w:val="24"/>
        </w:rPr>
        <w:t xml:space="preserve">arithmetische Folge für a, d </w:t>
      </w:r>
      <w:r>
        <w:rPr>
          <w:iCs/>
          <w:szCs w:val="24"/>
        </w:rPr>
        <w:sym w:font="Symbol" w:char="F0CE"/>
      </w:r>
      <w:r>
        <w:rPr>
          <w:iCs/>
          <w:szCs w:val="24"/>
        </w:rPr>
        <w:t xml:space="preserve"> </w:t>
      </w:r>
      <w:r w:rsidRPr="00090179">
        <w:rPr>
          <w:iCs/>
          <w:spacing w:val="-26"/>
          <w:szCs w:val="24"/>
        </w:rPr>
        <w:t>IR</w:t>
      </w:r>
      <w:r w:rsidR="00885DF1">
        <w:rPr>
          <w:iCs/>
          <w:szCs w:val="24"/>
        </w:rPr>
        <w:t xml:space="preserve">  mit d </w:t>
      </w:r>
      <w:r w:rsidR="00885DF1">
        <w:rPr>
          <w:iCs/>
          <w:szCs w:val="24"/>
        </w:rPr>
        <w:sym w:font="Symbol" w:char="F0B9"/>
      </w:r>
      <w:r w:rsidR="00885DF1">
        <w:rPr>
          <w:iCs/>
          <w:szCs w:val="24"/>
        </w:rPr>
        <w:t xml:space="preserve"> 0</w:t>
      </w:r>
    </w:p>
    <w:p w:rsidR="00090179" w:rsidRDefault="00090179" w:rsidP="00090179">
      <w:pPr>
        <w:pStyle w:val="Listenabsatz"/>
        <w:numPr>
          <w:ilvl w:val="1"/>
          <w:numId w:val="4"/>
        </w:numPr>
        <w:tabs>
          <w:tab w:val="left" w:pos="3402"/>
        </w:tabs>
        <w:rPr>
          <w:iCs/>
          <w:szCs w:val="24"/>
        </w:rPr>
      </w:pPr>
      <w:r>
        <w:rPr>
          <w:iCs/>
          <w:szCs w:val="24"/>
        </w:rPr>
        <w:t xml:space="preserve">rekursive Darstellung: </w:t>
      </w:r>
      <w:r>
        <w:rPr>
          <w:iCs/>
          <w:szCs w:val="24"/>
        </w:rPr>
        <w:tab/>
        <w:t>a</w:t>
      </w:r>
      <w:r>
        <w:rPr>
          <w:iCs/>
          <w:szCs w:val="24"/>
          <w:vertAlign w:val="subscript"/>
        </w:rPr>
        <w:t xml:space="preserve">n </w:t>
      </w:r>
      <w:r>
        <w:rPr>
          <w:iCs/>
          <w:szCs w:val="24"/>
        </w:rPr>
        <w:t>= a und a</w:t>
      </w:r>
      <w:r>
        <w:rPr>
          <w:iCs/>
          <w:szCs w:val="24"/>
          <w:vertAlign w:val="subscript"/>
        </w:rPr>
        <w:t>n+1</w:t>
      </w:r>
      <w:r>
        <w:rPr>
          <w:iCs/>
          <w:szCs w:val="24"/>
        </w:rPr>
        <w:t xml:space="preserve"> = a</w:t>
      </w:r>
      <w:r>
        <w:rPr>
          <w:iCs/>
          <w:szCs w:val="24"/>
          <w:vertAlign w:val="subscript"/>
        </w:rPr>
        <w:t>n</w:t>
      </w:r>
      <w:r>
        <w:rPr>
          <w:iCs/>
          <w:szCs w:val="24"/>
        </w:rPr>
        <w:t xml:space="preserve"> +d</w:t>
      </w:r>
    </w:p>
    <w:p w:rsidR="00090179" w:rsidRPr="00090179" w:rsidRDefault="00090179" w:rsidP="00090179">
      <w:pPr>
        <w:pStyle w:val="Listenabsatz"/>
        <w:numPr>
          <w:ilvl w:val="1"/>
          <w:numId w:val="4"/>
        </w:numPr>
        <w:tabs>
          <w:tab w:val="left" w:pos="3402"/>
        </w:tabs>
        <w:rPr>
          <w:iCs/>
          <w:szCs w:val="24"/>
        </w:rPr>
      </w:pPr>
      <w:r>
        <w:rPr>
          <w:iCs/>
          <w:szCs w:val="24"/>
        </w:rPr>
        <w:t>explizite Darstellung:</w:t>
      </w:r>
      <w:r>
        <w:rPr>
          <w:iCs/>
          <w:szCs w:val="24"/>
        </w:rPr>
        <w:tab/>
        <w:t>a</w:t>
      </w:r>
      <w:r>
        <w:rPr>
          <w:iCs/>
          <w:szCs w:val="24"/>
          <w:vertAlign w:val="subscript"/>
        </w:rPr>
        <w:t>n</w:t>
      </w:r>
      <w:r>
        <w:rPr>
          <w:iCs/>
          <w:szCs w:val="24"/>
        </w:rPr>
        <w:t xml:space="preserve"> = a + </w:t>
      </w:r>
      <w:proofErr w:type="spellStart"/>
      <w:r>
        <w:rPr>
          <w:iCs/>
          <w:szCs w:val="24"/>
        </w:rPr>
        <w:t>n∙d</w:t>
      </w:r>
      <w:proofErr w:type="spellEnd"/>
    </w:p>
    <w:p w:rsidR="00090179" w:rsidRDefault="00090179" w:rsidP="00090179">
      <w:pPr>
        <w:pStyle w:val="Listenabsatz"/>
        <w:numPr>
          <w:ilvl w:val="0"/>
          <w:numId w:val="4"/>
        </w:numPr>
        <w:rPr>
          <w:iCs/>
          <w:szCs w:val="24"/>
        </w:rPr>
      </w:pPr>
      <w:r>
        <w:rPr>
          <w:iCs/>
          <w:szCs w:val="24"/>
        </w:rPr>
        <w:t xml:space="preserve">geometrische Folge für a, q </w:t>
      </w:r>
      <w:r>
        <w:rPr>
          <w:iCs/>
          <w:szCs w:val="24"/>
        </w:rPr>
        <w:sym w:font="Symbol" w:char="F0CE"/>
      </w:r>
      <w:r>
        <w:rPr>
          <w:iCs/>
          <w:szCs w:val="24"/>
        </w:rPr>
        <w:t xml:space="preserve"> </w:t>
      </w:r>
      <w:r w:rsidRPr="00090179">
        <w:rPr>
          <w:iCs/>
          <w:spacing w:val="-26"/>
          <w:szCs w:val="24"/>
        </w:rPr>
        <w:t>IR</w:t>
      </w:r>
      <w:r w:rsidR="00885DF1">
        <w:rPr>
          <w:iCs/>
          <w:spacing w:val="-26"/>
          <w:szCs w:val="24"/>
        </w:rPr>
        <w:t xml:space="preserve">  </w:t>
      </w:r>
      <w:r w:rsidR="00885DF1">
        <w:rPr>
          <w:iCs/>
          <w:szCs w:val="24"/>
        </w:rPr>
        <w:t xml:space="preserve">mit a, q </w:t>
      </w:r>
      <w:r w:rsidR="00885DF1">
        <w:rPr>
          <w:iCs/>
          <w:szCs w:val="24"/>
        </w:rPr>
        <w:sym w:font="Symbol" w:char="F0B9"/>
      </w:r>
      <w:r w:rsidR="00885DF1">
        <w:rPr>
          <w:iCs/>
          <w:szCs w:val="24"/>
        </w:rPr>
        <w:t xml:space="preserve"> 0</w:t>
      </w:r>
    </w:p>
    <w:p w:rsidR="00090179" w:rsidRPr="00885DF1" w:rsidRDefault="00090179" w:rsidP="00090179">
      <w:pPr>
        <w:pStyle w:val="Listenabsatz"/>
        <w:numPr>
          <w:ilvl w:val="1"/>
          <w:numId w:val="4"/>
        </w:numPr>
        <w:tabs>
          <w:tab w:val="left" w:pos="3402"/>
        </w:tabs>
        <w:rPr>
          <w:rFonts w:cstheme="minorHAnsi"/>
          <w:iCs/>
          <w:szCs w:val="24"/>
        </w:rPr>
      </w:pPr>
      <w:r w:rsidRPr="00885DF1">
        <w:rPr>
          <w:rFonts w:cstheme="minorHAnsi"/>
          <w:iCs/>
          <w:szCs w:val="24"/>
        </w:rPr>
        <w:t xml:space="preserve">rekursive Darstellung: </w:t>
      </w:r>
      <w:r w:rsidRPr="00885DF1">
        <w:rPr>
          <w:rFonts w:cstheme="minorHAnsi"/>
          <w:iCs/>
          <w:szCs w:val="24"/>
        </w:rPr>
        <w:tab/>
        <w:t>a</w:t>
      </w:r>
      <w:r w:rsidRPr="00885DF1">
        <w:rPr>
          <w:rFonts w:cstheme="minorHAnsi"/>
          <w:iCs/>
          <w:szCs w:val="24"/>
          <w:vertAlign w:val="subscript"/>
        </w:rPr>
        <w:t xml:space="preserve">n </w:t>
      </w:r>
      <w:r w:rsidRPr="00885DF1">
        <w:rPr>
          <w:rFonts w:cstheme="minorHAnsi"/>
          <w:iCs/>
          <w:szCs w:val="24"/>
        </w:rPr>
        <w:t>= a und a</w:t>
      </w:r>
      <w:r w:rsidRPr="00885DF1">
        <w:rPr>
          <w:rFonts w:cstheme="minorHAnsi"/>
          <w:iCs/>
          <w:szCs w:val="24"/>
          <w:vertAlign w:val="subscript"/>
        </w:rPr>
        <w:t>n+1</w:t>
      </w:r>
      <w:r w:rsidRPr="00885DF1">
        <w:rPr>
          <w:rFonts w:cstheme="minorHAnsi"/>
          <w:iCs/>
          <w:szCs w:val="24"/>
        </w:rPr>
        <w:t xml:space="preserve"> = </w:t>
      </w:r>
      <w:proofErr w:type="spellStart"/>
      <w:r w:rsidR="00885DF1" w:rsidRPr="00885DF1">
        <w:rPr>
          <w:rFonts w:cstheme="minorHAnsi"/>
          <w:iCs/>
          <w:szCs w:val="24"/>
        </w:rPr>
        <w:t>q∙</w:t>
      </w:r>
      <w:r w:rsidRPr="00885DF1">
        <w:rPr>
          <w:rFonts w:cstheme="minorHAnsi"/>
          <w:iCs/>
          <w:szCs w:val="24"/>
        </w:rPr>
        <w:t>a</w:t>
      </w:r>
      <w:r w:rsidRPr="00885DF1">
        <w:rPr>
          <w:rFonts w:cstheme="minorHAnsi"/>
          <w:iCs/>
          <w:szCs w:val="24"/>
          <w:vertAlign w:val="subscript"/>
        </w:rPr>
        <w:t>n</w:t>
      </w:r>
      <w:proofErr w:type="spellEnd"/>
    </w:p>
    <w:p w:rsidR="00090179" w:rsidRPr="00885DF1" w:rsidRDefault="00090179" w:rsidP="00885DF1">
      <w:pPr>
        <w:pStyle w:val="Listenabsatz"/>
        <w:numPr>
          <w:ilvl w:val="1"/>
          <w:numId w:val="4"/>
        </w:numPr>
        <w:tabs>
          <w:tab w:val="left" w:pos="3402"/>
        </w:tabs>
        <w:spacing w:after="60"/>
        <w:rPr>
          <w:rFonts w:cstheme="minorHAnsi"/>
          <w:iCs/>
          <w:szCs w:val="24"/>
        </w:rPr>
      </w:pPr>
      <w:r w:rsidRPr="00885DF1">
        <w:rPr>
          <w:rFonts w:cstheme="minorHAnsi"/>
          <w:iCs/>
          <w:szCs w:val="24"/>
        </w:rPr>
        <w:t>explizite Darstellung:</w:t>
      </w:r>
      <w:r w:rsidRPr="00885DF1">
        <w:rPr>
          <w:rFonts w:cstheme="minorHAnsi"/>
          <w:iCs/>
          <w:szCs w:val="24"/>
        </w:rPr>
        <w:tab/>
        <w:t>a</w:t>
      </w:r>
      <w:r w:rsidRPr="00885DF1">
        <w:rPr>
          <w:rFonts w:cstheme="minorHAnsi"/>
          <w:iCs/>
          <w:szCs w:val="24"/>
          <w:vertAlign w:val="subscript"/>
        </w:rPr>
        <w:t>n</w:t>
      </w:r>
      <w:r w:rsidRPr="00885DF1">
        <w:rPr>
          <w:rFonts w:cstheme="minorHAnsi"/>
          <w:iCs/>
          <w:szCs w:val="24"/>
        </w:rPr>
        <w:t xml:space="preserve"> = </w:t>
      </w:r>
      <w:r w:rsidR="00885DF1" w:rsidRPr="00885DF1">
        <w:rPr>
          <w:rFonts w:cstheme="minorHAnsi"/>
          <w:iCs/>
          <w:szCs w:val="24"/>
        </w:rPr>
        <w:t xml:space="preserve">a ∙ </w:t>
      </w:r>
      <w:proofErr w:type="spellStart"/>
      <w:r w:rsidR="00885DF1" w:rsidRPr="00885DF1">
        <w:rPr>
          <w:rFonts w:cstheme="minorHAnsi"/>
          <w:iCs/>
          <w:szCs w:val="24"/>
        </w:rPr>
        <w:t>q</w:t>
      </w:r>
      <w:r w:rsidR="00885DF1" w:rsidRPr="00885DF1">
        <w:rPr>
          <w:rFonts w:cstheme="minorHAnsi"/>
          <w:iCs/>
          <w:szCs w:val="24"/>
          <w:vertAlign w:val="superscript"/>
        </w:rPr>
        <w:t>n</w:t>
      </w:r>
      <w:proofErr w:type="spellEnd"/>
    </w:p>
    <w:p w:rsidR="00885DF1" w:rsidRPr="00885DF1" w:rsidRDefault="00885DF1" w:rsidP="004E0EAC">
      <w:pPr>
        <w:rPr>
          <w:rFonts w:cstheme="minorHAnsi"/>
          <w:iCs/>
          <w:szCs w:val="24"/>
        </w:rPr>
      </w:pPr>
      <w:r w:rsidRPr="00885DF1">
        <w:rPr>
          <w:rFonts w:cstheme="minorHAnsi"/>
          <w:iCs/>
          <w:szCs w:val="24"/>
        </w:rPr>
        <w:t xml:space="preserve">Bei diesen Typen kann an das Vorwissen der </w:t>
      </w:r>
      <w:proofErr w:type="spellStart"/>
      <w:r w:rsidRPr="00885DF1">
        <w:rPr>
          <w:rFonts w:cstheme="minorHAnsi"/>
          <w:iCs/>
          <w:szCs w:val="24"/>
        </w:rPr>
        <w:t>SuS</w:t>
      </w:r>
      <w:proofErr w:type="spellEnd"/>
      <w:r w:rsidRPr="00885DF1">
        <w:rPr>
          <w:rFonts w:cstheme="minorHAnsi"/>
          <w:iCs/>
          <w:szCs w:val="24"/>
        </w:rPr>
        <w:t xml:space="preserve"> zu linearen Funktionen bzw. zu Exponentialfunktionen angeknüpft werden.</w:t>
      </w:r>
    </w:p>
    <w:p w:rsidR="00652430" w:rsidRPr="00652430" w:rsidRDefault="00885DF1" w:rsidP="00885DF1">
      <w:pPr>
        <w:pStyle w:val="StandardWeb"/>
        <w:overflowPunct w:val="0"/>
        <w:spacing w:before="0" w:beforeAutospacing="0" w:after="0" w:afterAutospacing="0"/>
        <w:rPr>
          <w:rFonts w:asciiTheme="minorHAnsi" w:hAnsiTheme="minorHAnsi" w:cstheme="minorHAnsi"/>
          <w:iCs/>
        </w:rPr>
      </w:pPr>
      <w:r w:rsidRPr="00885DF1">
        <w:rPr>
          <w:rFonts w:asciiTheme="minorHAnsi" w:hAnsiTheme="minorHAnsi" w:cstheme="minorHAnsi"/>
          <w:iCs/>
        </w:rPr>
        <w:t xml:space="preserve">Man kann Folgen nach bestimmten Eigenschaften einteilen, die wichtigsten sind </w:t>
      </w:r>
      <w:r w:rsidRPr="002B1AA9">
        <w:rPr>
          <w:rFonts w:asciiTheme="minorHAnsi" w:hAnsiTheme="minorHAnsi" w:cstheme="minorHAnsi"/>
          <w:b/>
          <w:iCs/>
        </w:rPr>
        <w:t>Monotonie</w:t>
      </w:r>
      <w:r w:rsidRPr="00885DF1">
        <w:rPr>
          <w:rFonts w:asciiTheme="minorHAnsi" w:hAnsiTheme="minorHAnsi" w:cstheme="minorHAnsi"/>
          <w:iCs/>
        </w:rPr>
        <w:t xml:space="preserve">, </w:t>
      </w:r>
      <w:r w:rsidRPr="002B1AA9">
        <w:rPr>
          <w:rFonts w:asciiTheme="minorHAnsi" w:hAnsiTheme="minorHAnsi" w:cstheme="minorHAnsi"/>
          <w:b/>
          <w:iCs/>
        </w:rPr>
        <w:t>Beschränktheit</w:t>
      </w:r>
      <w:r w:rsidRPr="00885DF1">
        <w:rPr>
          <w:rFonts w:asciiTheme="minorHAnsi" w:hAnsiTheme="minorHAnsi" w:cstheme="minorHAnsi"/>
          <w:iCs/>
        </w:rPr>
        <w:t xml:space="preserve"> und </w:t>
      </w:r>
      <w:r w:rsidRPr="002B1AA9">
        <w:rPr>
          <w:rFonts w:asciiTheme="minorHAnsi" w:hAnsiTheme="minorHAnsi" w:cstheme="minorHAnsi"/>
          <w:b/>
          <w:iCs/>
        </w:rPr>
        <w:t>Konvergenz</w:t>
      </w:r>
      <w:r w:rsidRPr="00885DF1">
        <w:rPr>
          <w:rFonts w:asciiTheme="minorHAnsi" w:hAnsiTheme="minorHAnsi" w:cstheme="minorHAnsi"/>
          <w:iCs/>
        </w:rPr>
        <w:t xml:space="preserve">. Während die Definitionen von Monotonie und Beschränktheit anschaulich klar sind, ist dies bei der Konvergenz nicht der Fall. </w:t>
      </w:r>
      <w:r w:rsidR="00652430">
        <w:rPr>
          <w:rFonts w:asciiTheme="minorHAnsi" w:hAnsiTheme="minorHAnsi" w:cstheme="minorHAnsi"/>
          <w:iCs/>
        </w:rPr>
        <w:t xml:space="preserve">Die übliche </w:t>
      </w:r>
      <w:r w:rsidR="00652430">
        <w:rPr>
          <w:rFonts w:asciiTheme="minorHAnsi" w:hAnsiTheme="minorHAnsi" w:cstheme="minorHAnsi"/>
          <w:iCs/>
        </w:rPr>
        <w:sym w:font="Symbol" w:char="F065"/>
      </w:r>
      <w:r w:rsidR="00652430">
        <w:rPr>
          <w:rFonts w:asciiTheme="minorHAnsi" w:hAnsiTheme="minorHAnsi" w:cstheme="minorHAnsi"/>
          <w:iCs/>
        </w:rPr>
        <w:t>-n</w:t>
      </w:r>
      <w:r w:rsidR="00652430">
        <w:rPr>
          <w:rFonts w:asciiTheme="minorHAnsi" w:hAnsiTheme="minorHAnsi" w:cstheme="minorHAnsi"/>
          <w:iCs/>
          <w:vertAlign w:val="subscript"/>
        </w:rPr>
        <w:t>0</w:t>
      </w:r>
      <w:r w:rsidR="00652430">
        <w:rPr>
          <w:rFonts w:asciiTheme="minorHAnsi" w:hAnsiTheme="minorHAnsi" w:cstheme="minorHAnsi"/>
          <w:iCs/>
        </w:rPr>
        <w:t>-</w:t>
      </w:r>
      <w:r w:rsidR="00652430">
        <w:rPr>
          <w:rFonts w:asciiTheme="minorHAnsi" w:hAnsiTheme="minorHAnsi" w:cstheme="minorHAnsi"/>
          <w:iCs/>
        </w:rPr>
        <w:lastRenderedPageBreak/>
        <w:t xml:space="preserve">Formulierung ist hochgradig abstrakt. Sie stellt eine der Errungenschaften bei der Fundierung der Analysis im 19. Jahrhundert dar, an der Mathematiker wie </w:t>
      </w:r>
      <w:r w:rsidR="00652430" w:rsidRPr="00652430">
        <w:rPr>
          <w:rFonts w:asciiTheme="minorHAnsi" w:hAnsiTheme="minorHAnsi" w:cstheme="minorHAnsi"/>
          <w:iCs/>
        </w:rPr>
        <w:t xml:space="preserve">Cauchy, </w:t>
      </w:r>
      <w:proofErr w:type="spellStart"/>
      <w:r w:rsidR="00652430" w:rsidRPr="00652430">
        <w:rPr>
          <w:rFonts w:asciiTheme="minorHAnsi" w:hAnsiTheme="minorHAnsi" w:cstheme="minorHAnsi"/>
          <w:iCs/>
        </w:rPr>
        <w:t>Bolzano</w:t>
      </w:r>
      <w:proofErr w:type="spellEnd"/>
      <w:r w:rsidR="00652430" w:rsidRPr="00652430">
        <w:rPr>
          <w:rFonts w:asciiTheme="minorHAnsi" w:hAnsiTheme="minorHAnsi" w:cstheme="minorHAnsi"/>
          <w:iCs/>
        </w:rPr>
        <w:t>, Weierstraß und Cantor</w:t>
      </w:r>
      <w:r w:rsidR="00652430">
        <w:rPr>
          <w:rFonts w:asciiTheme="minorHAnsi" w:hAnsiTheme="minorHAnsi" w:cstheme="minorHAnsi"/>
          <w:iCs/>
        </w:rPr>
        <w:t xml:space="preserve"> arbeiteten.</w:t>
      </w:r>
    </w:p>
    <w:p w:rsidR="00885DF1" w:rsidRPr="008F1B9C" w:rsidRDefault="00AC6813" w:rsidP="0032060C">
      <w:pPr>
        <w:pStyle w:val="StandardWeb"/>
        <w:overflowPunct w:val="0"/>
        <w:spacing w:before="0" w:beforeAutospacing="0" w:after="120" w:afterAutospacing="0"/>
        <w:rPr>
          <w:rFonts w:asciiTheme="minorHAnsi" w:hAnsiTheme="minorHAnsi" w:cstheme="minorHAnsi"/>
          <w:iCs/>
        </w:rPr>
      </w:pPr>
      <w:r>
        <w:rPr>
          <w:rFonts w:asciiTheme="minorHAnsi" w:hAnsiTheme="minorHAnsi" w:cstheme="minorHAnsi"/>
          <w:iCs/>
        </w:rPr>
        <w:t>Beim Konvergenzbegriff</w:t>
      </w:r>
      <w:r w:rsidR="00885DF1" w:rsidRPr="00885DF1">
        <w:rPr>
          <w:rFonts w:asciiTheme="minorHAnsi" w:hAnsiTheme="minorHAnsi" w:cstheme="minorHAnsi"/>
          <w:iCs/>
        </w:rPr>
        <w:t xml:space="preserve"> gibt es </w:t>
      </w:r>
      <w:r w:rsidR="008F1B9C">
        <w:rPr>
          <w:rFonts w:asciiTheme="minorHAnsi" w:hAnsiTheme="minorHAnsi" w:cstheme="minorHAnsi"/>
          <w:iCs/>
        </w:rPr>
        <w:t>zudem</w:t>
      </w:r>
      <w:r w:rsidR="00EC3D88">
        <w:rPr>
          <w:rFonts w:asciiTheme="minorHAnsi" w:hAnsiTheme="minorHAnsi" w:cstheme="minorHAnsi"/>
          <w:iCs/>
        </w:rPr>
        <w:t xml:space="preserve"> </w:t>
      </w:r>
      <w:r w:rsidR="00885DF1" w:rsidRPr="00885DF1">
        <w:rPr>
          <w:rFonts w:asciiTheme="minorHAnsi" w:hAnsiTheme="minorHAnsi" w:cstheme="minorHAnsi"/>
          <w:iCs/>
        </w:rPr>
        <w:t>eine Reihe von Fehlvorstellungen</w:t>
      </w:r>
      <w:r w:rsidR="00885DF1">
        <w:rPr>
          <w:rFonts w:asciiTheme="minorHAnsi" w:hAnsiTheme="minorHAnsi" w:cstheme="minorHAnsi"/>
          <w:iCs/>
        </w:rPr>
        <w:t xml:space="preserve">, z.B. </w:t>
      </w:r>
      <w:r w:rsidR="00885DF1" w:rsidRPr="00885DF1">
        <w:rPr>
          <w:rFonts w:asciiTheme="minorHAnsi" w:eastAsiaTheme="minorEastAsia" w:hAnsiTheme="minorHAnsi" w:cstheme="minorHAnsi"/>
          <w:color w:val="000000" w:themeColor="text1"/>
          <w:kern w:val="24"/>
        </w:rPr>
        <w:t>„Folgenglieder kommen immer näher“</w:t>
      </w:r>
      <w:r w:rsidR="00885DF1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(</w:t>
      </w:r>
      <w:r w:rsidR="008F1B9C">
        <w:rPr>
          <w:rFonts w:asciiTheme="minorHAnsi" w:eastAsiaTheme="minorEastAsia" w:hAnsiTheme="minorHAnsi" w:cstheme="minorHAnsi"/>
          <w:color w:val="000000" w:themeColor="text1"/>
          <w:kern w:val="24"/>
        </w:rPr>
        <w:t>auch</w:t>
      </w:r>
      <w:r w:rsidR="00885DF1" w:rsidRPr="00885DF1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theme="minorHAnsi"/>
                <w:i/>
                <w:color w:val="000000" w:themeColor="text1"/>
                <w:kern w:val="24"/>
              </w:rPr>
            </m:ctrlPr>
          </m:sSubPr>
          <m:e>
            <m:r>
              <w:rPr>
                <w:rFonts w:ascii="Cambria Math" w:eastAsiaTheme="minorEastAsia" w:hAnsi="Cambria Math" w:cstheme="minorHAnsi"/>
                <w:color w:val="000000" w:themeColor="text1"/>
                <w:kern w:val="24"/>
              </w:rPr>
              <m:t>a</m:t>
            </m:r>
          </m:e>
          <m:sub>
            <m:r>
              <w:rPr>
                <w:rFonts w:ascii="Cambria Math" w:eastAsiaTheme="minorEastAsia" w:hAnsi="Cambria Math" w:cstheme="minorHAnsi"/>
                <w:color w:val="000000" w:themeColor="text1"/>
                <w:kern w:val="24"/>
              </w:rPr>
              <m:t>n</m:t>
            </m:r>
          </m:sub>
        </m:sSub>
        <m:r>
          <w:rPr>
            <w:rFonts w:ascii="Cambria Math" w:eastAsiaTheme="minorEastAsia" w:hAnsi="Cambria Math" w:cstheme="minorHAnsi"/>
            <w:color w:val="000000" w:themeColor="text1"/>
            <w:kern w:val="24"/>
          </w:rPr>
          <m:t>=1+</m:t>
        </m:r>
        <m:f>
          <m:fPr>
            <m:ctrlPr>
              <w:rPr>
                <w:rFonts w:ascii="Cambria Math" w:eastAsiaTheme="minorEastAsia" w:hAnsi="Cambria Math" w:cstheme="minorHAnsi"/>
                <w:i/>
                <w:color w:val="000000" w:themeColor="text1"/>
                <w:kern w:val="24"/>
              </w:rPr>
            </m:ctrlPr>
          </m:fPr>
          <m:num>
            <m:r>
              <w:rPr>
                <w:rFonts w:ascii="Cambria Math" w:eastAsiaTheme="minorEastAsia" w:hAnsi="Cambria Math" w:cstheme="minorHAnsi"/>
                <w:color w:val="000000" w:themeColor="text1"/>
                <w:kern w:val="24"/>
              </w:rPr>
              <m:t>1</m:t>
            </m:r>
          </m:num>
          <m:den>
            <m:r>
              <w:rPr>
                <w:rFonts w:ascii="Cambria Math" w:eastAsiaTheme="minorEastAsia" w:hAnsi="Cambria Math" w:cstheme="minorHAnsi"/>
                <w:color w:val="000000" w:themeColor="text1"/>
                <w:kern w:val="24"/>
              </w:rPr>
              <m:t>n</m:t>
            </m:r>
          </m:den>
        </m:f>
      </m:oMath>
      <w:r w:rsidR="00885DF1" w:rsidRPr="00885DF1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</w:t>
      </w:r>
      <w:r w:rsidR="008F1B9C">
        <w:rPr>
          <w:rFonts w:asciiTheme="minorHAnsi" w:eastAsiaTheme="minorEastAsia" w:hAnsiTheme="minorHAnsi" w:cstheme="minorHAnsi"/>
          <w:color w:val="000000" w:themeColor="text1"/>
          <w:kern w:val="24"/>
        </w:rPr>
        <w:t>kommt</w:t>
      </w:r>
      <w:r w:rsidR="00885DF1" w:rsidRPr="00885DF1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der 0 „immer näher“</w:t>
      </w:r>
      <w:r w:rsidR="00885DF1">
        <w:rPr>
          <w:rFonts w:asciiTheme="minorHAnsi" w:eastAsiaTheme="minorEastAsia" w:hAnsiTheme="minorHAnsi" w:cstheme="minorHAnsi"/>
          <w:color w:val="000000" w:themeColor="text1"/>
          <w:kern w:val="24"/>
        </w:rPr>
        <w:t>)</w:t>
      </w:r>
      <w:r w:rsidR="00885DF1" w:rsidRPr="00885DF1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oder „</w:t>
      </w:r>
      <w:r w:rsidR="00885DF1">
        <w:rPr>
          <w:rFonts w:asciiTheme="minorHAnsi" w:eastAsiaTheme="minorEastAsia" w:hAnsiTheme="minorHAnsi" w:cstheme="minorHAnsi"/>
          <w:color w:val="000000" w:themeColor="text1"/>
          <w:kern w:val="24"/>
        </w:rPr>
        <w:t>z</w:t>
      </w:r>
      <w:r w:rsidR="00885DF1" w:rsidRPr="00885DF1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u jedem Abstand gibt es Folgenglieder, die </w:t>
      </w:r>
      <w:r w:rsidR="00885DF1">
        <w:rPr>
          <w:rFonts w:asciiTheme="minorHAnsi" w:eastAsiaTheme="minorEastAsia" w:hAnsiTheme="minorHAnsi" w:cstheme="minorHAnsi"/>
          <w:color w:val="000000" w:themeColor="text1"/>
          <w:kern w:val="24"/>
        </w:rPr>
        <w:t>beliebig nahe am Grenzwert sind</w:t>
      </w:r>
      <w:r w:rsidR="00885DF1" w:rsidRPr="00885DF1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“ </w:t>
      </w:r>
      <w:r w:rsidR="00885DF1">
        <w:rPr>
          <w:rFonts w:asciiTheme="minorHAnsi" w:eastAsiaTheme="minorEastAsia" w:hAnsiTheme="minorHAnsi" w:cstheme="minorHAnsi"/>
          <w:color w:val="000000" w:themeColor="text1"/>
          <w:kern w:val="24"/>
        </w:rPr>
        <w:t>(</w:t>
      </w:r>
      <w:r w:rsidR="008F1B9C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ohne gegen 0 zu konvergieren, erfüllt dies auch </w:t>
      </w:r>
      <w:proofErr w:type="spellStart"/>
      <w:r w:rsidR="00885DF1">
        <w:rPr>
          <w:rFonts w:asciiTheme="minorHAnsi" w:eastAsiaTheme="minorEastAsia" w:hAnsiTheme="minorHAnsi" w:cstheme="minorHAnsi"/>
          <w:color w:val="000000" w:themeColor="text1"/>
          <w:kern w:val="24"/>
        </w:rPr>
        <w:t>auch</w:t>
      </w:r>
      <w:proofErr w:type="spellEnd"/>
      <w:r w:rsidR="00885DF1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theme="minorHAnsi"/>
                <w:i/>
                <w:color w:val="000000" w:themeColor="text1"/>
                <w:kern w:val="24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theme="minorHAnsi"/>
                <w:color w:val="000000" w:themeColor="text1"/>
                <w:kern w:val="24"/>
                <w:sz w:val="20"/>
                <w:szCs w:val="20"/>
              </w:rPr>
              <m:t>a</m:t>
            </m:r>
          </m:e>
          <m:sub>
            <m:r>
              <w:rPr>
                <w:rFonts w:ascii="Cambria Math" w:eastAsiaTheme="minorEastAsia" w:hAnsi="Cambria Math" w:cstheme="minorHAnsi"/>
                <w:color w:val="000000" w:themeColor="text1"/>
                <w:kern w:val="24"/>
                <w:sz w:val="20"/>
                <w:szCs w:val="20"/>
              </w:rPr>
              <m:t>n</m:t>
            </m:r>
          </m:sub>
        </m:sSub>
        <m:r>
          <w:rPr>
            <w:rFonts w:ascii="Cambria Math" w:eastAsiaTheme="minorEastAsia" w:hAnsi="Cambria Math" w:cstheme="minorHAnsi"/>
            <w:color w:val="000000" w:themeColor="text1"/>
            <w:kern w:val="24"/>
            <w:sz w:val="20"/>
            <w:szCs w:val="20"/>
          </w:rPr>
          <m:t>=</m:t>
        </m:r>
        <m:d>
          <m:dPr>
            <m:begChr m:val="{"/>
            <m:endChr m:val=""/>
            <m:ctrlPr>
              <w:rPr>
                <w:rFonts w:ascii="Cambria Math" w:eastAsiaTheme="minorEastAsia" w:hAnsi="Cambria Math" w:cstheme="minorHAnsi"/>
                <w:i/>
                <w:color w:val="000000" w:themeColor="text1"/>
                <w:kern w:val="24"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eastAsiaTheme="minorEastAsia" w:hAnsi="Cambria Math" w:cstheme="minorHAnsi"/>
                    <w:i/>
                    <w:color w:val="000000" w:themeColor="text1"/>
                    <w:kern w:val="24"/>
                    <w:sz w:val="20"/>
                    <w:szCs w:val="20"/>
                  </w:rPr>
                </m:ctrlPr>
              </m:mPr>
              <m:mr>
                <m:e>
                  <m:f>
                    <m:fPr>
                      <m:ctrlPr>
                        <w:rPr>
                          <w:rFonts w:ascii="Cambria Math" w:eastAsiaTheme="minorEastAsia" w:hAnsi="Cambria Math" w:cstheme="minorHAnsi"/>
                          <w:i/>
                          <w:color w:val="000000" w:themeColor="text1"/>
                          <w:kern w:val="24"/>
                          <w:sz w:val="20"/>
                          <w:szCs w:val="20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theme="minorHAnsi"/>
                          <w:color w:val="000000" w:themeColor="text1"/>
                          <w:kern w:val="24"/>
                          <w:sz w:val="20"/>
                          <w:szCs w:val="20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theme="minorHAnsi"/>
                          <w:color w:val="000000" w:themeColor="text1"/>
                          <w:kern w:val="24"/>
                          <w:sz w:val="20"/>
                          <w:szCs w:val="20"/>
                        </w:rPr>
                        <m:t>n</m:t>
                      </m:r>
                    </m:den>
                  </m:f>
                  <m:r>
                    <w:rPr>
                      <w:rFonts w:ascii="Cambria Math" w:eastAsiaTheme="minorEastAsia" w:hAnsi="Cambria Math" w:cstheme="minorHAnsi"/>
                      <w:color w:val="000000" w:themeColor="text1"/>
                      <w:kern w:val="24"/>
                      <w:sz w:val="20"/>
                      <w:szCs w:val="20"/>
                    </w:rPr>
                    <m:t xml:space="preserve">   , </m:t>
                  </m:r>
                  <m:r>
                    <m:rPr>
                      <m:nor/>
                    </m:rPr>
                    <w:rPr>
                      <w:rFonts w:ascii="Cambria Math" w:eastAsiaTheme="minorEastAsia" w:hAnsi="Cambria Math" w:cstheme="minorHAnsi"/>
                      <w:color w:val="000000" w:themeColor="text1"/>
                      <w:kern w:val="24"/>
                      <w:sz w:val="20"/>
                      <w:szCs w:val="20"/>
                    </w:rPr>
                    <m:t xml:space="preserve"> falls n gerade </m:t>
                  </m:r>
                </m:e>
              </m:mr>
              <m:mr>
                <m:e>
                  <m:r>
                    <w:rPr>
                      <w:rFonts w:ascii="Cambria Math" w:eastAsiaTheme="minorEastAsia" w:hAnsi="Cambria Math" w:cstheme="minorHAnsi"/>
                      <w:color w:val="000000" w:themeColor="text1"/>
                      <w:kern w:val="24"/>
                      <w:sz w:val="20"/>
                      <w:szCs w:val="20"/>
                    </w:rPr>
                    <m:t xml:space="preserve">  n    , </m:t>
                  </m:r>
                  <m:r>
                    <m:rPr>
                      <m:nor/>
                    </m:rPr>
                    <w:rPr>
                      <w:rFonts w:ascii="Cambria Math" w:eastAsiaTheme="minorEastAsia" w:hAnsi="Cambria Math" w:cstheme="minorHAnsi"/>
                      <w:color w:val="000000" w:themeColor="text1"/>
                      <w:kern w:val="24"/>
                      <w:sz w:val="20"/>
                      <w:szCs w:val="20"/>
                    </w:rPr>
                    <m:t>falls n ungerade</m:t>
                  </m:r>
                </m:e>
              </m:mr>
            </m:m>
          </m:e>
        </m:d>
      </m:oMath>
      <w:r w:rsidR="00885DF1">
        <w:rPr>
          <w:rFonts w:asciiTheme="minorHAnsi" w:eastAsiaTheme="minorEastAsia" w:hAnsiTheme="minorHAnsi" w:cstheme="minorHAnsi"/>
          <w:color w:val="000000" w:themeColor="text1"/>
          <w:kern w:val="24"/>
        </w:rPr>
        <w:t>).</w:t>
      </w:r>
      <w:r w:rsidR="005B0CB9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Wichtig </w:t>
      </w:r>
      <w:r w:rsidR="0032060C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beim Konvergenzbegriff </w:t>
      </w:r>
      <w:r w:rsidR="005B0CB9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ist die Grundvorstellung, dass ab einem bestimmten Folgeglied alle weiteren in einem </w:t>
      </w:r>
      <w:r w:rsidR="005B0CB9">
        <w:rPr>
          <w:rFonts w:asciiTheme="minorHAnsi" w:eastAsiaTheme="minorEastAsia" w:hAnsiTheme="minorHAnsi" w:cstheme="minorHAnsi"/>
          <w:color w:val="000000" w:themeColor="text1"/>
          <w:kern w:val="24"/>
        </w:rPr>
        <w:sym w:font="Symbol" w:char="F065"/>
      </w:r>
      <w:r w:rsidR="005B0CB9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-Schlauch bleiben müssen, egal wie eng man sich dessen Radius </w:t>
      </w:r>
      <w:r w:rsidR="005B0CB9">
        <w:rPr>
          <w:rFonts w:asciiTheme="minorHAnsi" w:eastAsiaTheme="minorEastAsia" w:hAnsiTheme="minorHAnsi" w:cstheme="minorHAnsi"/>
          <w:color w:val="000000" w:themeColor="text1"/>
          <w:kern w:val="24"/>
        </w:rPr>
        <w:sym w:font="Symbol" w:char="F065"/>
      </w:r>
      <w:r w:rsidR="005B0CB9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vorgibt.</w:t>
      </w:r>
    </w:p>
    <w:p w:rsidR="00652430" w:rsidRPr="00652430" w:rsidRDefault="00A240A2" w:rsidP="00652430">
      <w:pPr>
        <w:pStyle w:val="StandardWeb"/>
        <w:overflowPunct w:val="0"/>
        <w:spacing w:before="0" w:beforeAutospacing="0" w:after="120" w:afterAutospacing="0"/>
        <w:rPr>
          <w:rFonts w:asciiTheme="minorHAnsi" w:eastAsiaTheme="minorEastAsia" w:hAnsiTheme="minorHAnsi" w:cstheme="minorHAnsi"/>
          <w:color w:val="000000" w:themeColor="text1"/>
          <w:kern w:val="24"/>
        </w:rPr>
      </w:pPr>
      <w:r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Der Nachweis ist bei allen drei Eigenschaften nicht </w:t>
      </w:r>
      <w:r w:rsidR="0032060C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immer </w:t>
      </w:r>
      <w:r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einfach. Bei Monotonie und Beschränktheit muss man oft heuristisch vorgehen, eine Vermutung entwickeln und verschiedene Ansätze, die oft mit algebraischen Umformungen verbunden sind, </w:t>
      </w:r>
      <w:r w:rsidR="00652430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ausprobieren. Hier kann die prozessbezogenen Kompetenz </w:t>
      </w:r>
      <w:r w:rsidR="00652430">
        <w:rPr>
          <w:rFonts w:asciiTheme="minorHAnsi" w:eastAsiaTheme="minorEastAsia" w:hAnsiTheme="minorHAnsi" w:cstheme="minorHAnsi"/>
          <w:i/>
          <w:color w:val="000000" w:themeColor="text1"/>
          <w:kern w:val="24"/>
        </w:rPr>
        <w:t>Problemlösen</w:t>
      </w:r>
      <w:r w:rsidR="00652430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gefördert werden.</w:t>
      </w:r>
      <w:r w:rsidR="0032060C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 </w:t>
      </w:r>
      <w:r w:rsidR="00652430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Bei der Konvergenz </w:t>
      </w:r>
      <w:r w:rsidR="002943F7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ist der Nachweis sehr </w:t>
      </w:r>
      <w:proofErr w:type="spellStart"/>
      <w:r w:rsidR="002943F7">
        <w:rPr>
          <w:rFonts w:asciiTheme="minorHAnsi" w:eastAsiaTheme="minorEastAsia" w:hAnsiTheme="minorHAnsi" w:cstheme="minorHAnsi"/>
          <w:color w:val="000000" w:themeColor="text1"/>
          <w:kern w:val="24"/>
        </w:rPr>
        <w:t>kalkülhaft</w:t>
      </w:r>
      <w:proofErr w:type="spellEnd"/>
      <w:r w:rsidR="002943F7">
        <w:rPr>
          <w:rFonts w:asciiTheme="minorHAnsi" w:eastAsiaTheme="minorEastAsia" w:hAnsiTheme="minorHAnsi" w:cstheme="minorHAnsi"/>
          <w:color w:val="000000" w:themeColor="text1"/>
          <w:kern w:val="24"/>
        </w:rPr>
        <w:t xml:space="preserve">, wodurch das Verständnis leicht verloren geht. Außerdem ist er bei vielen Folgen algebraisch anspruchsvoll. </w:t>
      </w:r>
    </w:p>
    <w:p w:rsidR="00885DF1" w:rsidRPr="00885DF1" w:rsidRDefault="00566D78" w:rsidP="004E0EAC">
      <w:pPr>
        <w:rPr>
          <w:rFonts w:cstheme="minorHAnsi"/>
          <w:iCs/>
          <w:szCs w:val="24"/>
        </w:rPr>
      </w:pPr>
      <w:r>
        <w:rPr>
          <w:rFonts w:cstheme="minorHAnsi"/>
          <w:iCs/>
          <w:szCs w:val="24"/>
        </w:rPr>
        <w:t xml:space="preserve">Bei den </w:t>
      </w:r>
      <w:r w:rsidRPr="002B1AA9">
        <w:rPr>
          <w:rFonts w:cstheme="minorHAnsi"/>
          <w:b/>
          <w:iCs/>
          <w:szCs w:val="24"/>
        </w:rPr>
        <w:t>Sätzen über Konvergenz</w:t>
      </w:r>
      <w:r>
        <w:rPr>
          <w:rFonts w:cstheme="minorHAnsi"/>
          <w:iCs/>
          <w:szCs w:val="24"/>
        </w:rPr>
        <w:t xml:space="preserve"> von Folgen ist die Aussage zentral, dass eine Folge konvergiert, wenn sie monoton und beschränkt ist. </w:t>
      </w:r>
      <w:r w:rsidR="0032060C">
        <w:rPr>
          <w:rFonts w:cstheme="minorHAnsi"/>
          <w:iCs/>
          <w:szCs w:val="24"/>
        </w:rPr>
        <w:t>Der</w:t>
      </w:r>
      <w:r>
        <w:rPr>
          <w:rFonts w:cstheme="minorHAnsi"/>
          <w:iCs/>
          <w:szCs w:val="24"/>
        </w:rPr>
        <w:t xml:space="preserve"> Beweis benutzt entscheidend die Vollständigkeit der reellen Zahlen. Diese </w:t>
      </w:r>
      <w:r w:rsidR="0032060C">
        <w:rPr>
          <w:rFonts w:cstheme="minorHAnsi"/>
          <w:iCs/>
          <w:szCs w:val="24"/>
        </w:rPr>
        <w:t xml:space="preserve">geht </w:t>
      </w:r>
      <w:r>
        <w:rPr>
          <w:rFonts w:cstheme="minorHAnsi"/>
          <w:iCs/>
          <w:szCs w:val="24"/>
        </w:rPr>
        <w:t xml:space="preserve">in der Form </w:t>
      </w:r>
      <w:r w:rsidR="0032060C">
        <w:rPr>
          <w:rFonts w:cstheme="minorHAnsi"/>
          <w:iCs/>
          <w:szCs w:val="24"/>
        </w:rPr>
        <w:t>ein</w:t>
      </w:r>
      <w:r>
        <w:rPr>
          <w:rFonts w:cstheme="minorHAnsi"/>
          <w:iCs/>
          <w:szCs w:val="24"/>
        </w:rPr>
        <w:t xml:space="preserve">, dass eine nichtleere, nach oben beschränkte Teilmenge von IR ein Supremum besitzt. </w:t>
      </w:r>
    </w:p>
    <w:p w:rsidR="00955355" w:rsidRDefault="00C979E4" w:rsidP="00A735E0">
      <w:pPr>
        <w:spacing w:after="60"/>
        <w:rPr>
          <w:rFonts w:cstheme="minorHAnsi"/>
          <w:iCs/>
          <w:szCs w:val="24"/>
        </w:rPr>
      </w:pPr>
      <w:r>
        <w:rPr>
          <w:rFonts w:cstheme="minorHAnsi"/>
          <w:iCs/>
          <w:szCs w:val="24"/>
        </w:rPr>
        <w:t>Weitere Sätze über Konvergenz sind einfacher zu beweisen, so beispielsweise</w:t>
      </w:r>
    </w:p>
    <w:p w:rsidR="00C979E4" w:rsidRPr="00C979E4" w:rsidRDefault="00C979E4" w:rsidP="00333BB1">
      <w:pPr>
        <w:pStyle w:val="Listenabsatz"/>
        <w:numPr>
          <w:ilvl w:val="0"/>
          <w:numId w:val="5"/>
        </w:numPr>
        <w:rPr>
          <w:rFonts w:cstheme="minorHAnsi"/>
          <w:iCs/>
          <w:szCs w:val="24"/>
        </w:rPr>
      </w:pPr>
      <w:r w:rsidRPr="00C979E4">
        <w:rPr>
          <w:rFonts w:cstheme="minorHAnsi"/>
          <w:iCs/>
          <w:szCs w:val="24"/>
        </w:rPr>
        <w:t>Wenn eine Folge konvergent ist, dann ist sie beschränkt.</w:t>
      </w:r>
    </w:p>
    <w:p w:rsidR="00C979E4" w:rsidRPr="00C979E4" w:rsidRDefault="00C979E4" w:rsidP="00C979E4">
      <w:pPr>
        <w:pStyle w:val="Listenabsatz"/>
        <w:numPr>
          <w:ilvl w:val="0"/>
          <w:numId w:val="5"/>
        </w:numPr>
        <w:rPr>
          <w:rFonts w:cstheme="minorHAnsi"/>
          <w:iCs/>
          <w:szCs w:val="24"/>
        </w:rPr>
      </w:pPr>
      <w:r>
        <w:rPr>
          <w:rFonts w:cstheme="minorHAnsi"/>
          <w:iCs/>
          <w:szCs w:val="24"/>
        </w:rPr>
        <w:t>Eine Folge hat höchstens einen</w:t>
      </w:r>
      <w:r w:rsidRPr="00C979E4">
        <w:rPr>
          <w:rFonts w:cstheme="minorHAnsi"/>
          <w:iCs/>
          <w:szCs w:val="24"/>
        </w:rPr>
        <w:t xml:space="preserve"> Grenzwert</w:t>
      </w:r>
      <w:r>
        <w:rPr>
          <w:rFonts w:cstheme="minorHAnsi"/>
          <w:iCs/>
          <w:szCs w:val="24"/>
        </w:rPr>
        <w:t>.</w:t>
      </w:r>
    </w:p>
    <w:p w:rsidR="00C979E4" w:rsidRPr="00C979E4" w:rsidRDefault="00C979E4" w:rsidP="00B7195B">
      <w:pPr>
        <w:pStyle w:val="Listenabsatz"/>
        <w:numPr>
          <w:ilvl w:val="0"/>
          <w:numId w:val="5"/>
        </w:numPr>
        <w:rPr>
          <w:rFonts w:cstheme="minorHAnsi"/>
          <w:iCs/>
          <w:szCs w:val="24"/>
        </w:rPr>
      </w:pPr>
      <w:r w:rsidRPr="00C979E4">
        <w:rPr>
          <w:rFonts w:cstheme="minorHAnsi"/>
          <w:iCs/>
          <w:szCs w:val="24"/>
        </w:rPr>
        <w:t>Die Folge (a</w:t>
      </w:r>
      <w:r w:rsidRPr="00C979E4">
        <w:rPr>
          <w:rFonts w:cstheme="minorHAnsi"/>
          <w:iCs/>
          <w:szCs w:val="24"/>
          <w:vertAlign w:val="subscript"/>
        </w:rPr>
        <w:t>n</w:t>
      </w:r>
      <w:r w:rsidRPr="00C979E4">
        <w:rPr>
          <w:rFonts w:cstheme="minorHAnsi"/>
          <w:iCs/>
          <w:szCs w:val="24"/>
        </w:rPr>
        <w:t>) hat genau dann einen Grenzwert, wenn (a</w:t>
      </w:r>
      <w:r w:rsidRPr="00C979E4">
        <w:rPr>
          <w:rFonts w:cstheme="minorHAnsi"/>
          <w:iCs/>
          <w:szCs w:val="24"/>
          <w:vertAlign w:val="subscript"/>
        </w:rPr>
        <w:t>n</w:t>
      </w:r>
      <w:r w:rsidRPr="00C979E4">
        <w:rPr>
          <w:rFonts w:cstheme="minorHAnsi"/>
          <w:iCs/>
          <w:szCs w:val="24"/>
        </w:rPr>
        <w:t xml:space="preserve"> – g) eine Nullfolge ist.</w:t>
      </w:r>
    </w:p>
    <w:p w:rsidR="00C979E4" w:rsidRPr="002B1AA9" w:rsidRDefault="00214E47" w:rsidP="00C979E4">
      <w:pPr>
        <w:rPr>
          <w:rFonts w:cstheme="minorHAnsi"/>
          <w:iCs/>
          <w:szCs w:val="24"/>
        </w:rPr>
      </w:pPr>
      <w:r>
        <w:rPr>
          <w:rFonts w:cstheme="minorHAnsi"/>
          <w:iCs/>
          <w:szCs w:val="24"/>
        </w:rPr>
        <w:t xml:space="preserve">Für die konkrete Bestimmung von Grenzwerten sind </w:t>
      </w:r>
      <w:r w:rsidR="002B1AA9">
        <w:rPr>
          <w:rFonts w:cstheme="minorHAnsi"/>
          <w:iCs/>
          <w:szCs w:val="24"/>
        </w:rPr>
        <w:t xml:space="preserve">die </w:t>
      </w:r>
      <w:r w:rsidR="002B1AA9" w:rsidRPr="002B1AA9">
        <w:rPr>
          <w:rFonts w:cstheme="minorHAnsi"/>
          <w:b/>
          <w:iCs/>
          <w:szCs w:val="24"/>
        </w:rPr>
        <w:t>Grenzwertsätze</w:t>
      </w:r>
      <w:r w:rsidR="002B1AA9">
        <w:rPr>
          <w:rFonts w:cstheme="minorHAnsi"/>
          <w:iCs/>
          <w:szCs w:val="24"/>
        </w:rPr>
        <w:t xml:space="preserve"> </w:t>
      </w:r>
      <w:r>
        <w:rPr>
          <w:rFonts w:cstheme="minorHAnsi"/>
          <w:iCs/>
          <w:szCs w:val="24"/>
        </w:rPr>
        <w:t xml:space="preserve">wichtig, </w:t>
      </w:r>
      <w:r w:rsidR="002B1AA9">
        <w:rPr>
          <w:rFonts w:cstheme="minorHAnsi"/>
          <w:iCs/>
          <w:szCs w:val="24"/>
        </w:rPr>
        <w:t>die auch Rechenregeln für Grenzwerte genannt werden. Die Summenfolge (a</w:t>
      </w:r>
      <w:r w:rsidR="002B1AA9">
        <w:rPr>
          <w:rFonts w:cstheme="minorHAnsi"/>
          <w:iCs/>
          <w:szCs w:val="24"/>
          <w:vertAlign w:val="subscript"/>
        </w:rPr>
        <w:t>n</w:t>
      </w:r>
      <w:r w:rsidR="002B1AA9">
        <w:rPr>
          <w:rFonts w:cstheme="minorHAnsi"/>
          <w:iCs/>
          <w:szCs w:val="24"/>
        </w:rPr>
        <w:t xml:space="preserve"> + </w:t>
      </w:r>
      <w:proofErr w:type="spellStart"/>
      <w:r w:rsidR="002B1AA9">
        <w:rPr>
          <w:rFonts w:cstheme="minorHAnsi"/>
          <w:iCs/>
          <w:szCs w:val="24"/>
        </w:rPr>
        <w:t>b</w:t>
      </w:r>
      <w:r w:rsidR="002B1AA9">
        <w:rPr>
          <w:rFonts w:cstheme="minorHAnsi"/>
          <w:iCs/>
          <w:szCs w:val="24"/>
          <w:vertAlign w:val="subscript"/>
        </w:rPr>
        <w:t>n</w:t>
      </w:r>
      <w:proofErr w:type="spellEnd"/>
      <w:r w:rsidR="002B1AA9">
        <w:rPr>
          <w:rFonts w:cstheme="minorHAnsi"/>
          <w:iCs/>
          <w:szCs w:val="24"/>
        </w:rPr>
        <w:t>) konvergenter Folgen a</w:t>
      </w:r>
      <w:r w:rsidR="002B1AA9">
        <w:rPr>
          <w:rFonts w:cstheme="minorHAnsi"/>
          <w:iCs/>
          <w:szCs w:val="24"/>
          <w:vertAlign w:val="subscript"/>
        </w:rPr>
        <w:t xml:space="preserve">n </w:t>
      </w:r>
      <w:r w:rsidR="002B1AA9">
        <w:rPr>
          <w:rFonts w:cstheme="minorHAnsi"/>
          <w:iCs/>
          <w:szCs w:val="24"/>
        </w:rPr>
        <w:t xml:space="preserve">und </w:t>
      </w:r>
      <w:proofErr w:type="spellStart"/>
      <w:r w:rsidR="002B1AA9">
        <w:rPr>
          <w:rFonts w:cstheme="minorHAnsi"/>
          <w:iCs/>
          <w:szCs w:val="24"/>
        </w:rPr>
        <w:t>b</w:t>
      </w:r>
      <w:r w:rsidR="002B1AA9">
        <w:rPr>
          <w:rFonts w:cstheme="minorHAnsi"/>
          <w:iCs/>
          <w:szCs w:val="24"/>
          <w:vertAlign w:val="subscript"/>
        </w:rPr>
        <w:t>n</w:t>
      </w:r>
      <w:proofErr w:type="spellEnd"/>
      <w:r w:rsidR="002B1AA9">
        <w:rPr>
          <w:rFonts w:cstheme="minorHAnsi"/>
          <w:iCs/>
          <w:szCs w:val="24"/>
        </w:rPr>
        <w:t xml:space="preserve"> ist konvergent und ihr Grenzwert ist die Summe der Grenzwerte von a</w:t>
      </w:r>
      <w:r w:rsidR="002B1AA9">
        <w:rPr>
          <w:rFonts w:cstheme="minorHAnsi"/>
          <w:iCs/>
          <w:szCs w:val="24"/>
          <w:vertAlign w:val="subscript"/>
        </w:rPr>
        <w:t xml:space="preserve">n </w:t>
      </w:r>
      <w:r w:rsidR="002B1AA9">
        <w:rPr>
          <w:rFonts w:cstheme="minorHAnsi"/>
          <w:iCs/>
          <w:szCs w:val="24"/>
        </w:rPr>
        <w:t xml:space="preserve">und </w:t>
      </w:r>
      <w:proofErr w:type="spellStart"/>
      <w:r w:rsidR="002B1AA9">
        <w:rPr>
          <w:rFonts w:cstheme="minorHAnsi"/>
          <w:iCs/>
          <w:szCs w:val="24"/>
        </w:rPr>
        <w:t>b</w:t>
      </w:r>
      <w:r w:rsidR="002B1AA9">
        <w:rPr>
          <w:rFonts w:cstheme="minorHAnsi"/>
          <w:iCs/>
          <w:szCs w:val="24"/>
          <w:vertAlign w:val="subscript"/>
        </w:rPr>
        <w:t>n</w:t>
      </w:r>
      <w:proofErr w:type="spellEnd"/>
      <w:r w:rsidR="002B1AA9">
        <w:rPr>
          <w:rFonts w:cstheme="minorHAnsi"/>
          <w:iCs/>
          <w:szCs w:val="24"/>
        </w:rPr>
        <w:t xml:space="preserve">. Gleiches gilt für die Differenzfolge, die Produktfolge und die </w:t>
      </w:r>
      <w:proofErr w:type="spellStart"/>
      <w:r w:rsidR="002B1AA9">
        <w:rPr>
          <w:rFonts w:cstheme="minorHAnsi"/>
          <w:iCs/>
          <w:szCs w:val="24"/>
        </w:rPr>
        <w:t>Quotientenfolge</w:t>
      </w:r>
      <w:proofErr w:type="spellEnd"/>
      <w:r w:rsidR="002B1AA9">
        <w:rPr>
          <w:rFonts w:cstheme="minorHAnsi"/>
          <w:iCs/>
          <w:szCs w:val="24"/>
        </w:rPr>
        <w:t xml:space="preserve">, für letztere sofern alle Glieder von </w:t>
      </w:r>
      <w:proofErr w:type="spellStart"/>
      <w:r w:rsidR="002B1AA9">
        <w:rPr>
          <w:rFonts w:cstheme="minorHAnsi"/>
          <w:iCs/>
          <w:szCs w:val="24"/>
        </w:rPr>
        <w:t>b</w:t>
      </w:r>
      <w:r w:rsidR="002B1AA9">
        <w:rPr>
          <w:rFonts w:cstheme="minorHAnsi"/>
          <w:iCs/>
          <w:szCs w:val="24"/>
          <w:vertAlign w:val="subscript"/>
        </w:rPr>
        <w:t>n</w:t>
      </w:r>
      <w:proofErr w:type="spellEnd"/>
      <w:r w:rsidR="002B1AA9">
        <w:rPr>
          <w:rFonts w:cstheme="minorHAnsi"/>
          <w:iCs/>
          <w:szCs w:val="24"/>
        </w:rPr>
        <w:t xml:space="preserve"> sowie der Grenzwert nicht 0 sind.</w:t>
      </w:r>
      <w:r w:rsidR="008D3C46">
        <w:rPr>
          <w:rFonts w:cstheme="minorHAnsi"/>
          <w:iCs/>
          <w:szCs w:val="24"/>
        </w:rPr>
        <w:t xml:space="preserve"> Im Falle der Summe und der Differenz sind die Beweise relativ einfach und direkt. Bei den anderen Fällen ist </w:t>
      </w:r>
      <w:r w:rsidR="000F6945">
        <w:rPr>
          <w:rFonts w:cstheme="minorHAnsi"/>
          <w:iCs/>
          <w:szCs w:val="24"/>
        </w:rPr>
        <w:t xml:space="preserve">das Vorgehen </w:t>
      </w:r>
      <w:r w:rsidR="008D3C46">
        <w:rPr>
          <w:rFonts w:cstheme="minorHAnsi"/>
          <w:iCs/>
          <w:szCs w:val="24"/>
        </w:rPr>
        <w:t>komplexer</w:t>
      </w:r>
      <w:r w:rsidR="000738A1">
        <w:rPr>
          <w:rFonts w:cstheme="minorHAnsi"/>
          <w:iCs/>
          <w:szCs w:val="24"/>
        </w:rPr>
        <w:t xml:space="preserve">, aber durchaus </w:t>
      </w:r>
      <w:bookmarkStart w:id="0" w:name="_GoBack"/>
      <w:bookmarkEnd w:id="0"/>
      <w:r w:rsidR="000738A1">
        <w:rPr>
          <w:rFonts w:cstheme="minorHAnsi"/>
          <w:iCs/>
          <w:szCs w:val="24"/>
        </w:rPr>
        <w:t>im Unterricht möglich.</w:t>
      </w:r>
    </w:p>
    <w:p w:rsidR="00FE1875" w:rsidRDefault="00FE1875" w:rsidP="004E0EAC">
      <w:pPr>
        <w:rPr>
          <w:sz w:val="22"/>
        </w:rPr>
      </w:pPr>
    </w:p>
    <w:sectPr w:rsidR="00FE1875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120FB53-110E-4105-BB43-9CD0365C4E03}"/>
    <w:embedBold r:id="rId2" w:fontKey="{93F4D9BB-92F2-4901-82CB-2300F3C6827C}"/>
    <w:embedItalic r:id="rId3" w:fontKey="{F895A5B9-E6B7-4570-ABD6-2CEA6B1EB55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0F0D49B-463C-4F5F-9D1B-6CDA5CFC49BD}"/>
    <w:embedBold r:id="rId5" w:fontKey="{BE916A99-FE35-407C-8937-B23CFA051718}"/>
    <w:embedItalic r:id="rId6" w:fontKey="{D0C9AE29-BCCA-47D5-96DA-869D97CCAD20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14E94D2-1EB5-4A7A-BFEF-77F34472000B}"/>
    <w:embedItalic r:id="rId8" w:fontKey="{6A9FDD45-B794-4BC6-90C5-D248C4DA40D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6D2FB4"/>
    <w:multiLevelType w:val="hybridMultilevel"/>
    <w:tmpl w:val="8C087B40"/>
    <w:lvl w:ilvl="0" w:tplc="FE5EED6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b/>
        <w:i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165D1F"/>
    <w:multiLevelType w:val="hybridMultilevel"/>
    <w:tmpl w:val="CE88F71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i w:val="0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BCA1A68"/>
    <w:multiLevelType w:val="hybridMultilevel"/>
    <w:tmpl w:val="6C04713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6E0B18"/>
    <w:multiLevelType w:val="hybridMultilevel"/>
    <w:tmpl w:val="9B7A0230"/>
    <w:lvl w:ilvl="0" w:tplc="53B84E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5A31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86889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33C4F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B9061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71892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0ACF2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9A2B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C84D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76417036"/>
    <w:multiLevelType w:val="hybridMultilevel"/>
    <w:tmpl w:val="0A04814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embedTrueTypeFonts/>
  <w:proofState w:spelling="clean"/>
  <w:defaultTabStop w:val="708"/>
  <w:autoHyphenation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09B8"/>
    <w:rsid w:val="000738A1"/>
    <w:rsid w:val="00082E34"/>
    <w:rsid w:val="00090179"/>
    <w:rsid w:val="000C3609"/>
    <w:rsid w:val="000C65F2"/>
    <w:rsid w:val="000D6FBB"/>
    <w:rsid w:val="000F1BCC"/>
    <w:rsid w:val="000F6945"/>
    <w:rsid w:val="00141413"/>
    <w:rsid w:val="001468A5"/>
    <w:rsid w:val="00147D45"/>
    <w:rsid w:val="00180C63"/>
    <w:rsid w:val="001A74D6"/>
    <w:rsid w:val="00214E47"/>
    <w:rsid w:val="002709B8"/>
    <w:rsid w:val="002943F7"/>
    <w:rsid w:val="002B1AA9"/>
    <w:rsid w:val="002C5409"/>
    <w:rsid w:val="002D5E0D"/>
    <w:rsid w:val="0032060C"/>
    <w:rsid w:val="00343045"/>
    <w:rsid w:val="00360FDE"/>
    <w:rsid w:val="003722CA"/>
    <w:rsid w:val="00375C2E"/>
    <w:rsid w:val="003D30CC"/>
    <w:rsid w:val="004A4A54"/>
    <w:rsid w:val="004E0EAC"/>
    <w:rsid w:val="004E287E"/>
    <w:rsid w:val="00530D74"/>
    <w:rsid w:val="00566D78"/>
    <w:rsid w:val="005B0CB9"/>
    <w:rsid w:val="005B10C5"/>
    <w:rsid w:val="00651338"/>
    <w:rsid w:val="00651468"/>
    <w:rsid w:val="00652430"/>
    <w:rsid w:val="006F5473"/>
    <w:rsid w:val="0076201D"/>
    <w:rsid w:val="007973D2"/>
    <w:rsid w:val="007C14ED"/>
    <w:rsid w:val="007C7E3F"/>
    <w:rsid w:val="008224B7"/>
    <w:rsid w:val="00834CF6"/>
    <w:rsid w:val="00856EDE"/>
    <w:rsid w:val="0086646B"/>
    <w:rsid w:val="00885DF1"/>
    <w:rsid w:val="008D3C46"/>
    <w:rsid w:val="008F1B9C"/>
    <w:rsid w:val="0090610A"/>
    <w:rsid w:val="00955355"/>
    <w:rsid w:val="0096626F"/>
    <w:rsid w:val="009B5F43"/>
    <w:rsid w:val="009F56C5"/>
    <w:rsid w:val="00A240A2"/>
    <w:rsid w:val="00A735E0"/>
    <w:rsid w:val="00AC6813"/>
    <w:rsid w:val="00B00FAA"/>
    <w:rsid w:val="00B02FEC"/>
    <w:rsid w:val="00BA3E40"/>
    <w:rsid w:val="00BF235B"/>
    <w:rsid w:val="00C02605"/>
    <w:rsid w:val="00C13777"/>
    <w:rsid w:val="00C16B30"/>
    <w:rsid w:val="00C979E4"/>
    <w:rsid w:val="00CE3E99"/>
    <w:rsid w:val="00CE4CF3"/>
    <w:rsid w:val="00CF4C8C"/>
    <w:rsid w:val="00D07072"/>
    <w:rsid w:val="00D32F71"/>
    <w:rsid w:val="00D8416F"/>
    <w:rsid w:val="00E05CB8"/>
    <w:rsid w:val="00EC3D88"/>
    <w:rsid w:val="00ED0B8D"/>
    <w:rsid w:val="00F24E3C"/>
    <w:rsid w:val="00F41010"/>
    <w:rsid w:val="00F551C2"/>
    <w:rsid w:val="00FE18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6717E9"/>
  <w15:docId w15:val="{9A91C0BF-7ADA-4418-BFAD-B6A485F6A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709B8"/>
    <w:pPr>
      <w:spacing w:after="120" w:line="256" w:lineRule="auto"/>
    </w:pPr>
    <w:rPr>
      <w:sz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2709B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80C6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2709B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180C6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180C6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80C6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stenabsatz">
    <w:name w:val="List Paragraph"/>
    <w:basedOn w:val="Standard"/>
    <w:uiPriority w:val="34"/>
    <w:qFormat/>
    <w:rsid w:val="0086646B"/>
    <w:pPr>
      <w:ind w:left="720"/>
      <w:contextualSpacing/>
    </w:pPr>
  </w:style>
  <w:style w:type="table" w:styleId="Tabellenraster">
    <w:name w:val="Table Grid"/>
    <w:basedOn w:val="NormaleTabelle"/>
    <w:uiPriority w:val="59"/>
    <w:unhideWhenUsed/>
    <w:rsid w:val="004A4A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Standard"/>
    <w:uiPriority w:val="99"/>
    <w:unhideWhenUsed/>
    <w:rsid w:val="00BA3E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de-DE"/>
    </w:rPr>
  </w:style>
  <w:style w:type="character" w:styleId="Platzhaltertext">
    <w:name w:val="Placeholder Text"/>
    <w:basedOn w:val="Absatz-Standardschriftart"/>
    <w:uiPriority w:val="99"/>
    <w:semiHidden/>
    <w:rsid w:val="0009017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45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528819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806332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536581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2463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700164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533852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904796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28692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548305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830944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2531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283922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94723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97211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60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1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815829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957826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943438">
          <w:marLeft w:val="20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961870">
          <w:marLeft w:val="20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5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7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24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72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7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565953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87573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531663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70644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01939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241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080427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234734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189384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51538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18459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972346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137724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283319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15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53857">
          <w:marLeft w:val="27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94095">
          <w:marLeft w:val="27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7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4B1136-55D7-42A0-8FB5-86E6897D9E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698</Words>
  <Characters>4399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Stefanie Bertsch</dc:creator>
  <cp:lastModifiedBy>ToScha</cp:lastModifiedBy>
  <cp:revision>24</cp:revision>
  <dcterms:created xsi:type="dcterms:W3CDTF">2020-02-28T12:18:00Z</dcterms:created>
  <dcterms:modified xsi:type="dcterms:W3CDTF">2020-02-28T14:38:00Z</dcterms:modified>
</cp:coreProperties>
</file>