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02"/>
        <w:gridCol w:w="3602"/>
        <w:gridCol w:w="3602"/>
        <w:gridCol w:w="3603"/>
      </w:tblGrid>
      <w:tr w:rsidR="005D41E2" w:rsidTr="005D41E2">
        <w:tc>
          <w:tcPr>
            <w:tcW w:w="14409" w:type="dxa"/>
            <w:gridSpan w:val="4"/>
            <w:shd w:val="clear" w:color="auto" w:fill="FFFF00"/>
          </w:tcPr>
          <w:p w:rsidR="005D41E2" w:rsidRDefault="005D41E2">
            <w:pPr>
              <w:rPr>
                <w:b/>
              </w:rPr>
            </w:pPr>
            <w:r>
              <w:rPr>
                <w:b/>
              </w:rPr>
              <w:t>BP 2016 GYMNASIUM, BILDENDE KUNST, ANHÖRUNGSFASSUNG MAI 2015                                                 SYNOPSE GRAFIK</w:t>
            </w:r>
          </w:p>
          <w:p w:rsidR="005D41E2" w:rsidRPr="005D41E2" w:rsidRDefault="005D41E2">
            <w:pPr>
              <w:rPr>
                <w:b/>
              </w:rPr>
            </w:pPr>
          </w:p>
        </w:tc>
      </w:tr>
      <w:tr w:rsidR="005D41E2" w:rsidRPr="005D41E2" w:rsidTr="005D41E2">
        <w:tc>
          <w:tcPr>
            <w:tcW w:w="3602" w:type="dxa"/>
          </w:tcPr>
          <w:p w:rsidR="005D41E2" w:rsidRPr="005D41E2" w:rsidRDefault="005D41E2">
            <w:r w:rsidRPr="005D41E2">
              <w:t>Klassen 5/6</w:t>
            </w:r>
          </w:p>
        </w:tc>
        <w:tc>
          <w:tcPr>
            <w:tcW w:w="3602" w:type="dxa"/>
          </w:tcPr>
          <w:p w:rsidR="005D41E2" w:rsidRPr="005D41E2" w:rsidRDefault="005D41E2">
            <w:r w:rsidRPr="005D41E2">
              <w:t>Klassen 7/8</w:t>
            </w:r>
          </w:p>
        </w:tc>
        <w:tc>
          <w:tcPr>
            <w:tcW w:w="3602" w:type="dxa"/>
          </w:tcPr>
          <w:p w:rsidR="005D41E2" w:rsidRPr="005D41E2" w:rsidRDefault="005D41E2">
            <w:r w:rsidRPr="005D41E2">
              <w:t>Klassen 9/10</w:t>
            </w:r>
          </w:p>
        </w:tc>
        <w:tc>
          <w:tcPr>
            <w:tcW w:w="3603" w:type="dxa"/>
          </w:tcPr>
          <w:p w:rsidR="005D41E2" w:rsidRPr="005D41E2" w:rsidRDefault="005D41E2">
            <w:r w:rsidRPr="005D41E2">
              <w:t>Klassen 11/12</w:t>
            </w:r>
          </w:p>
        </w:tc>
      </w:tr>
      <w:tr w:rsidR="005D41E2" w:rsidTr="005D41E2">
        <w:tc>
          <w:tcPr>
            <w:tcW w:w="3602" w:type="dxa"/>
            <w:shd w:val="clear" w:color="auto" w:fill="FFFC9B"/>
          </w:tcPr>
          <w:p w:rsidR="005D41E2" w:rsidRPr="005F38E2" w:rsidRDefault="005D41E2" w:rsidP="005D41E2">
            <w:pPr>
              <w:pStyle w:val="BPIKKompetenzBeschreibung"/>
              <w:jc w:val="left"/>
            </w:pPr>
            <w:r w:rsidRPr="005F38E2">
              <w:rPr>
                <w:szCs w:val="22"/>
              </w:rPr>
              <w:t>Die Schülerinnen und Schüler gestalten Bildflächen mit verschiedenen gra</w:t>
            </w:r>
            <w:r>
              <w:rPr>
                <w:szCs w:val="22"/>
              </w:rPr>
              <w:t xml:space="preserve">fischen Mitteln und Materialien. </w:t>
            </w:r>
            <w:r w:rsidRPr="00AD224D">
              <w:rPr>
                <w:szCs w:val="22"/>
              </w:rPr>
              <w:t>Dab</w:t>
            </w:r>
            <w:r>
              <w:rPr>
                <w:szCs w:val="22"/>
              </w:rPr>
              <w:t>ei erproben sie spielerisch,</w:t>
            </w:r>
            <w:r w:rsidRPr="005F38E2">
              <w:rPr>
                <w:szCs w:val="22"/>
              </w:rPr>
              <w:t xml:space="preserve"> experimentell oder ge</w:t>
            </w:r>
            <w:r>
              <w:rPr>
                <w:szCs w:val="22"/>
              </w:rPr>
              <w:t>zielt grafische Ausdrucksformen und entwickeln eigene Bildideen.</w:t>
            </w:r>
            <w:r w:rsidRPr="005F38E2">
              <w:rPr>
                <w:szCs w:val="22"/>
              </w:rPr>
              <w:t xml:space="preserve"> Sie können grundlegende Raumbeziehungen darstellen. Sie erproben einfache Druckverfahren und setzen Schrift als Gestaltungsmittel ein</w:t>
            </w:r>
            <w:r w:rsidRPr="005F38E2">
              <w:t>.</w:t>
            </w:r>
          </w:p>
          <w:p w:rsidR="005D41E2" w:rsidRPr="008C44E4" w:rsidRDefault="005D41E2" w:rsidP="005D41E2">
            <w:pPr>
              <w:pStyle w:val="BPIKKompetenzBeschreibung"/>
              <w:jc w:val="left"/>
            </w:pPr>
            <w:r w:rsidRPr="00060DB9">
              <w:t>Die Schülerinnen und Schüler können</w:t>
            </w:r>
          </w:p>
          <w:p w:rsidR="005D41E2" w:rsidRPr="00B66F7F" w:rsidRDefault="005D41E2" w:rsidP="005D41E2">
            <w:pPr>
              <w:pStyle w:val="BPIKKompetenzBeschreibung"/>
              <w:jc w:val="left"/>
            </w:pPr>
          </w:p>
        </w:tc>
        <w:tc>
          <w:tcPr>
            <w:tcW w:w="3602" w:type="dxa"/>
            <w:shd w:val="clear" w:color="auto" w:fill="FFFC9B"/>
          </w:tcPr>
          <w:p w:rsidR="005D41E2" w:rsidRPr="00B66F7F" w:rsidRDefault="005D41E2" w:rsidP="005D41E2">
            <w:pPr>
              <w:pStyle w:val="BPIKKompetenzBeschreibung"/>
              <w:jc w:val="left"/>
            </w:pPr>
            <w:r w:rsidRPr="00B66F7F">
              <w:t>Die Schülerinnen und Schüler wenden ihr erweitertes Repertoire der grafischen Mittel wirkungsvoll an.  Dabei erproben und entwickeln sie grafische Ausdrucksformen. Sie erlernen Verfahren</w:t>
            </w:r>
            <w:r>
              <w:t xml:space="preserve"> der Raumdarstellung. Sie wenden grundlegende Kriterien der Bildkomposition an und erkennen ihre Wirkungen. Sie erprob</w:t>
            </w:r>
            <w:r w:rsidRPr="00B66F7F">
              <w:t xml:space="preserve">en grundlegende Druckverfahren und setzen Schrift als Gestaltungsmittel ein. </w:t>
            </w:r>
          </w:p>
          <w:p w:rsidR="005D41E2" w:rsidRPr="00B66F7F" w:rsidRDefault="005D41E2" w:rsidP="005D41E2">
            <w:pPr>
              <w:pStyle w:val="BPIKKompetenzBeschreibung"/>
              <w:jc w:val="left"/>
            </w:pPr>
            <w:r w:rsidRPr="00B66F7F">
              <w:t>Die Schülerinnen und Schüler können</w:t>
            </w:r>
          </w:p>
        </w:tc>
        <w:tc>
          <w:tcPr>
            <w:tcW w:w="3602" w:type="dxa"/>
            <w:shd w:val="clear" w:color="auto" w:fill="FFFC9B"/>
          </w:tcPr>
          <w:p w:rsidR="005D41E2" w:rsidRPr="005640C6" w:rsidRDefault="005D41E2" w:rsidP="005D41E2">
            <w:pPr>
              <w:pStyle w:val="BPIKKompetenzBeschreibung"/>
              <w:jc w:val="left"/>
            </w:pPr>
            <w:r w:rsidRPr="005640C6">
              <w:t>Die Schülerinnen und Schüler erproben in offenen Prozessen freie grafische Ausdrucksmöglichkeiten und entwickeln eigene Gestaltungsformen zwischen Gegenständlichkeit und Abstraktion.</w:t>
            </w:r>
          </w:p>
          <w:p w:rsidR="005D41E2" w:rsidRPr="005640C6" w:rsidRDefault="005D41E2" w:rsidP="005D41E2">
            <w:pPr>
              <w:pStyle w:val="BPIKKompetenzBeschreibung"/>
              <w:jc w:val="left"/>
            </w:pPr>
            <w:r w:rsidRPr="005640C6">
              <w:t>Die Schülerinnen und Schüler können</w:t>
            </w:r>
          </w:p>
          <w:p w:rsidR="005D41E2" w:rsidRPr="005640C6" w:rsidRDefault="005D41E2" w:rsidP="005D41E2">
            <w:pPr>
              <w:pStyle w:val="BPIKKompetenzBeschreibung"/>
              <w:jc w:val="left"/>
            </w:pPr>
          </w:p>
        </w:tc>
        <w:tc>
          <w:tcPr>
            <w:tcW w:w="3603" w:type="dxa"/>
            <w:shd w:val="clear" w:color="auto" w:fill="FFFC9B"/>
          </w:tcPr>
          <w:p w:rsidR="005D41E2" w:rsidRPr="00BB7129" w:rsidRDefault="005D41E2" w:rsidP="005D41E2">
            <w:pPr>
              <w:pStyle w:val="BPIKKompetenzBeschreibung"/>
              <w:jc w:val="left"/>
            </w:pPr>
            <w:r w:rsidRPr="00BB7129">
              <w:t>Die Schülerinnen und Schüler erproben grafische Ausdrucksformen im gegenständlichen und ungegenständlichen Bereich. Sie entdecken unterschiedliche grafische Möglichkeiten</w:t>
            </w:r>
            <w:r>
              <w:t xml:space="preserve"> </w:t>
            </w:r>
            <w:r w:rsidRPr="00BB7129">
              <w:t>und nutzen diese bewusst zur eigenen Gestaltung. Die Schülerinnen und Schüler erzielen mit grafischen Mitteln Wirkung, Ausdruck und Bedeutung und erreichen eine angemessene Komplexität und Prägnanz in der Gestaltung.</w:t>
            </w:r>
          </w:p>
          <w:p w:rsidR="005D41E2" w:rsidRPr="008C44E4" w:rsidRDefault="005D41E2" w:rsidP="005D41E2">
            <w:pPr>
              <w:pStyle w:val="BPIKKompetenzBeschreibung"/>
              <w:jc w:val="left"/>
            </w:pPr>
            <w:r w:rsidRPr="00060DB9">
              <w:t>Die Schülerinnen und Schüler können</w:t>
            </w:r>
          </w:p>
          <w:p w:rsidR="005D41E2" w:rsidRPr="005640C6" w:rsidRDefault="005D41E2" w:rsidP="005D41E2">
            <w:pPr>
              <w:pStyle w:val="BPIKKompetenzBeschreibung"/>
              <w:jc w:val="left"/>
            </w:pPr>
          </w:p>
        </w:tc>
      </w:tr>
      <w:tr w:rsidR="005D41E2" w:rsidTr="005D41E2">
        <w:tc>
          <w:tcPr>
            <w:tcW w:w="3602" w:type="dxa"/>
            <w:shd w:val="clear" w:color="auto" w:fill="FEFFBE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>(</w:t>
            </w:r>
            <w:bookmarkStart w:id="0" w:name="_GoBack"/>
            <w:bookmarkEnd w:id="0"/>
            <w:r w:rsidRPr="005D41E2">
              <w:rPr>
                <w:sz w:val="20"/>
                <w:szCs w:val="20"/>
              </w:rPr>
              <w:t>1) grafische Gestaltungselemente (Punkt, Linie, Fläche, Kontur, Struktur, Schraffur, Muster, Hell- Dunkel) differenzierend erproben und bewusst anwenden</w:t>
            </w:r>
          </w:p>
        </w:tc>
        <w:tc>
          <w:tcPr>
            <w:tcW w:w="3602" w:type="dxa"/>
            <w:shd w:val="clear" w:color="auto" w:fill="FEFFBE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>(1) Ausdrucksqualitäten grafischer Mittel, Materialien und Bildträger untersuchen und für eigene Ideen nutzen</w:t>
            </w:r>
          </w:p>
        </w:tc>
        <w:tc>
          <w:tcPr>
            <w:tcW w:w="3602" w:type="dxa"/>
            <w:shd w:val="clear" w:color="auto" w:fill="FEFFBE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>(1) vielfältige grafische Mittel zur Organisation von Bildflächen gezielt oder experimentell anwenden</w:t>
            </w:r>
          </w:p>
        </w:tc>
        <w:tc>
          <w:tcPr>
            <w:tcW w:w="3603" w:type="dxa"/>
            <w:shd w:val="clear" w:color="auto" w:fill="FEFFBE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>(1) vielfältige grafische Mittel anwenden und verschiedene Funktionen der Zeichnung formal und inhaltlich einsetzen</w:t>
            </w:r>
          </w:p>
        </w:tc>
      </w:tr>
      <w:tr w:rsidR="005D41E2" w:rsidTr="00511E2F">
        <w:tc>
          <w:tcPr>
            <w:tcW w:w="3602" w:type="dxa"/>
            <w:shd w:val="clear" w:color="auto" w:fill="FEFF51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>(2) mit verschiedenen Materialien und Verfahren vielfältige grafische Strukturen und Werkspuren erproben und abbildhaft, abstrahierend oder gegenstandslos einsetzen</w:t>
            </w:r>
          </w:p>
        </w:tc>
        <w:tc>
          <w:tcPr>
            <w:tcW w:w="3602" w:type="dxa"/>
            <w:shd w:val="clear" w:color="auto" w:fill="FFF17A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>(2) grundlegende gestalterische Mittel zur Darstellung von Körper und Raum anwenden und Parallelprojektion sowie perspektivische Konstruktionsmethoden einsetzen</w:t>
            </w:r>
          </w:p>
        </w:tc>
        <w:tc>
          <w:tcPr>
            <w:tcW w:w="3602" w:type="dxa"/>
            <w:shd w:val="clear" w:color="auto" w:fill="FFF17A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>(2) verschiedene grafische und perspektivische Mittel zur Steigerung der Raumwirkung  und Plastizität von Körpern einsetzen</w:t>
            </w:r>
          </w:p>
        </w:tc>
        <w:tc>
          <w:tcPr>
            <w:tcW w:w="3603" w:type="dxa"/>
            <w:shd w:val="clear" w:color="auto" w:fill="FEFF51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>(2) grafische Mittel abbildhaft, abstrakt und experimentell anwenden und dabei Sichtbares, Vorstellbares, Ideen und Emotionen darstellen</w:t>
            </w:r>
          </w:p>
        </w:tc>
      </w:tr>
      <w:tr w:rsidR="005D41E2" w:rsidTr="00511E2F">
        <w:tc>
          <w:tcPr>
            <w:tcW w:w="3602" w:type="dxa"/>
            <w:shd w:val="clear" w:color="auto" w:fill="FFF17A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 xml:space="preserve">(3) Raumbeziehungen (zum Beispiel Größe, Position, Überschneidung, Staffelung) auf der Bildfläche mit </w:t>
            </w:r>
            <w:r w:rsidRPr="005D41E2">
              <w:rPr>
                <w:sz w:val="20"/>
                <w:szCs w:val="20"/>
              </w:rPr>
              <w:lastRenderedPageBreak/>
              <w:t>elementaren grafischen Mitteln (zum Beispiel Reihung, Streuung, Ballung als form- und strukturbildende Mittel) sicher darstellen</w:t>
            </w:r>
          </w:p>
        </w:tc>
        <w:tc>
          <w:tcPr>
            <w:tcW w:w="3602" w:type="dxa"/>
            <w:shd w:val="clear" w:color="auto" w:fill="FEFF51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lastRenderedPageBreak/>
              <w:t>(3) grundlegende grafische Mittel zur Darstellung von Plastizität und Stofflichkeit vielfältig anwenden</w:t>
            </w:r>
          </w:p>
        </w:tc>
        <w:tc>
          <w:tcPr>
            <w:tcW w:w="3602" w:type="dxa"/>
            <w:shd w:val="clear" w:color="auto" w:fill="FFF4AF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>(3) Gestaltungsmöglichkeiten von Druckverfahren nutzen</w:t>
            </w:r>
          </w:p>
        </w:tc>
        <w:tc>
          <w:tcPr>
            <w:tcW w:w="3603" w:type="dxa"/>
            <w:shd w:val="clear" w:color="auto" w:fill="FFFF00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 xml:space="preserve">(3) in offenen Gestaltungsprozessen mit unterschiedlichen Materialien und Medien grafische Spuren und </w:t>
            </w:r>
            <w:r w:rsidRPr="005D41E2">
              <w:rPr>
                <w:sz w:val="20"/>
                <w:szCs w:val="20"/>
              </w:rPr>
              <w:lastRenderedPageBreak/>
              <w:t>Strukturen zur Bildfindung erproben und gezielt einsetzen</w:t>
            </w:r>
          </w:p>
        </w:tc>
      </w:tr>
      <w:tr w:rsidR="005D41E2" w:rsidTr="00511E2F">
        <w:tc>
          <w:tcPr>
            <w:tcW w:w="3602" w:type="dxa"/>
            <w:shd w:val="clear" w:color="auto" w:fill="FFFBB0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lastRenderedPageBreak/>
              <w:t>(4) elementare und experimentelle Druckverfahren differenziert und gezielt anwenden</w:t>
            </w:r>
          </w:p>
        </w:tc>
        <w:tc>
          <w:tcPr>
            <w:tcW w:w="3602" w:type="dxa"/>
            <w:shd w:val="clear" w:color="auto" w:fill="FFFBB0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>(4) künstlerische Druckverfahren einsetzen</w:t>
            </w:r>
          </w:p>
        </w:tc>
        <w:tc>
          <w:tcPr>
            <w:tcW w:w="3602" w:type="dxa"/>
            <w:shd w:val="clear" w:color="auto" w:fill="FEFF51"/>
          </w:tcPr>
          <w:p w:rsidR="005D41E2" w:rsidRPr="006E5004" w:rsidRDefault="005D41E2" w:rsidP="005D41E2">
            <w:pPr>
              <w:pStyle w:val="BPVerweisFach"/>
              <w:numPr>
                <w:ilvl w:val="0"/>
                <w:numId w:val="0"/>
              </w:numPr>
              <w:ind w:left="851"/>
            </w:pPr>
          </w:p>
        </w:tc>
        <w:tc>
          <w:tcPr>
            <w:tcW w:w="3603" w:type="dxa"/>
            <w:shd w:val="clear" w:color="auto" w:fill="FEFF51"/>
          </w:tcPr>
          <w:p w:rsidR="005D41E2" w:rsidRDefault="005D41E2"/>
        </w:tc>
      </w:tr>
      <w:tr w:rsidR="005D41E2" w:rsidTr="00511E2F">
        <w:tc>
          <w:tcPr>
            <w:tcW w:w="3602" w:type="dxa"/>
            <w:shd w:val="clear" w:color="auto" w:fill="FEFF51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>(5) Schrift als Gestaltungsmittel auch in Verknüpfung mit Bild spielerisch erproben, untersuchen und zielgerichtet einsetzen</w:t>
            </w:r>
          </w:p>
        </w:tc>
        <w:tc>
          <w:tcPr>
            <w:tcW w:w="3602" w:type="dxa"/>
            <w:shd w:val="clear" w:color="auto" w:fill="FEFF51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>(5) Schrift als grafisches, typografisches und semantisch wirksames Gestaltungsmittel auch in Verknüpfung mit Bildern analog oder digital einsetzen</w:t>
            </w:r>
          </w:p>
        </w:tc>
        <w:tc>
          <w:tcPr>
            <w:tcW w:w="3602" w:type="dxa"/>
            <w:shd w:val="clear" w:color="auto" w:fill="FEFF51"/>
          </w:tcPr>
          <w:p w:rsidR="005D41E2" w:rsidRPr="00B66F7F" w:rsidRDefault="005D41E2" w:rsidP="005D41E2">
            <w:pPr>
              <w:pStyle w:val="BPVerweisFach"/>
              <w:numPr>
                <w:ilvl w:val="0"/>
                <w:numId w:val="0"/>
              </w:numPr>
              <w:ind w:left="851"/>
            </w:pPr>
          </w:p>
        </w:tc>
        <w:tc>
          <w:tcPr>
            <w:tcW w:w="3603" w:type="dxa"/>
            <w:shd w:val="clear" w:color="auto" w:fill="FEFF51"/>
          </w:tcPr>
          <w:p w:rsidR="005D41E2" w:rsidRDefault="005D41E2"/>
        </w:tc>
      </w:tr>
      <w:tr w:rsidR="005D41E2" w:rsidTr="00511E2F">
        <w:tc>
          <w:tcPr>
            <w:tcW w:w="3602" w:type="dxa"/>
            <w:shd w:val="clear" w:color="auto" w:fill="FFF17A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 xml:space="preserve">(6) gestalterische Mittel und Prinzipien der Bildkomposition anwenden (zum Beispiel Horizontale, Vertikale, Diagonale, Vorder-, Mittel-, Hintergrund, Überschneidung, Symmetrie, Asymmetrie, spannungsreiche Ordnungsgefüge) </w:t>
            </w:r>
          </w:p>
        </w:tc>
        <w:tc>
          <w:tcPr>
            <w:tcW w:w="3602" w:type="dxa"/>
            <w:shd w:val="clear" w:color="auto" w:fill="FFF17A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>(6) kompositorische Mittel bewusst anwenden und ihre Wirkungen erkennen</w:t>
            </w:r>
          </w:p>
        </w:tc>
        <w:tc>
          <w:tcPr>
            <w:tcW w:w="3602" w:type="dxa"/>
            <w:shd w:val="clear" w:color="auto" w:fill="FEFF51"/>
          </w:tcPr>
          <w:p w:rsidR="005D41E2" w:rsidRDefault="005D41E2"/>
        </w:tc>
        <w:tc>
          <w:tcPr>
            <w:tcW w:w="3603" w:type="dxa"/>
            <w:shd w:val="clear" w:color="auto" w:fill="FEFF51"/>
          </w:tcPr>
          <w:p w:rsidR="005D41E2" w:rsidRDefault="005D41E2"/>
        </w:tc>
      </w:tr>
      <w:tr w:rsidR="005D41E2" w:rsidTr="00511E2F">
        <w:tc>
          <w:tcPr>
            <w:tcW w:w="3602" w:type="dxa"/>
            <w:shd w:val="clear" w:color="auto" w:fill="FFFF00"/>
          </w:tcPr>
          <w:p w:rsidR="005D41E2" w:rsidRPr="005D41E2" w:rsidRDefault="005D41E2" w:rsidP="005D41E2">
            <w:pPr>
              <w:rPr>
                <w:sz w:val="20"/>
                <w:szCs w:val="20"/>
              </w:rPr>
            </w:pPr>
            <w:r w:rsidRPr="005D41E2">
              <w:rPr>
                <w:sz w:val="20"/>
                <w:szCs w:val="20"/>
              </w:rPr>
              <w:t>(7) aleatorische Verfahren anwenden und zu Bildfindungen nutzen</w:t>
            </w:r>
          </w:p>
        </w:tc>
        <w:tc>
          <w:tcPr>
            <w:tcW w:w="3602" w:type="dxa"/>
            <w:shd w:val="clear" w:color="auto" w:fill="FEFF51"/>
          </w:tcPr>
          <w:p w:rsidR="005D41E2" w:rsidRPr="004A7CE3" w:rsidRDefault="005D41E2" w:rsidP="005D41E2">
            <w:pPr>
              <w:pStyle w:val="BPVerweisLeitprinzip"/>
              <w:numPr>
                <w:ilvl w:val="0"/>
                <w:numId w:val="0"/>
              </w:numPr>
              <w:ind w:left="851"/>
              <w:jc w:val="both"/>
            </w:pPr>
          </w:p>
        </w:tc>
        <w:tc>
          <w:tcPr>
            <w:tcW w:w="3602" w:type="dxa"/>
            <w:shd w:val="clear" w:color="auto" w:fill="FEFF51"/>
          </w:tcPr>
          <w:p w:rsidR="005D41E2" w:rsidRDefault="005D41E2"/>
        </w:tc>
        <w:tc>
          <w:tcPr>
            <w:tcW w:w="3603" w:type="dxa"/>
            <w:shd w:val="clear" w:color="auto" w:fill="FEFF51"/>
          </w:tcPr>
          <w:p w:rsidR="005D41E2" w:rsidRDefault="005D41E2"/>
        </w:tc>
      </w:tr>
      <w:tr w:rsidR="005D41E2" w:rsidTr="00511E2F">
        <w:tc>
          <w:tcPr>
            <w:tcW w:w="3602" w:type="dxa"/>
            <w:shd w:val="clear" w:color="auto" w:fill="FFF9D3"/>
          </w:tcPr>
          <w:p w:rsidR="005D41E2" w:rsidRPr="00CF55E2" w:rsidRDefault="005D41E2" w:rsidP="005D41E2">
            <w:pPr>
              <w:pStyle w:val="BPVerweisFach"/>
              <w:jc w:val="both"/>
              <w:rPr>
                <w:szCs w:val="16"/>
              </w:rPr>
            </w:pPr>
            <w:r w:rsidRPr="00CF55E2">
              <w:rPr>
                <w:szCs w:val="16"/>
              </w:rPr>
              <w:t>Deutsch: 3.1.1.3 Medien</w:t>
            </w:r>
          </w:p>
          <w:p w:rsidR="005D41E2" w:rsidRPr="00CF55E2" w:rsidRDefault="005D41E2" w:rsidP="005D41E2">
            <w:pPr>
              <w:pStyle w:val="BPVerweisFach"/>
              <w:jc w:val="both"/>
              <w:rPr>
                <w:szCs w:val="16"/>
              </w:rPr>
            </w:pPr>
            <w:r w:rsidRPr="00CF55E2">
              <w:rPr>
                <w:szCs w:val="16"/>
              </w:rPr>
              <w:t>Mathematik: 3.1.3 Leitidee Raum und Form</w:t>
            </w:r>
          </w:p>
          <w:p w:rsidR="005D41E2" w:rsidRPr="00CF55E2" w:rsidRDefault="005D41E2" w:rsidP="005D41E2">
            <w:pPr>
              <w:pStyle w:val="BPVerweisLeitprinzip"/>
            </w:pPr>
            <w:r w:rsidRPr="00CF55E2">
              <w:t>MB</w:t>
            </w:r>
            <w:r w:rsidRPr="00CF55E2">
              <w:tab/>
              <w:t>Produktion und Präsentation</w:t>
            </w:r>
          </w:p>
        </w:tc>
        <w:tc>
          <w:tcPr>
            <w:tcW w:w="3602" w:type="dxa"/>
            <w:shd w:val="clear" w:color="auto" w:fill="FFF9D3"/>
          </w:tcPr>
          <w:p w:rsidR="005D41E2" w:rsidRDefault="005D41E2" w:rsidP="005D41E2">
            <w:pPr>
              <w:pStyle w:val="BPVerweisFach"/>
              <w:jc w:val="both"/>
            </w:pPr>
            <w:r>
              <w:t>Deutsch: 3.2.1.3 Medien</w:t>
            </w:r>
          </w:p>
          <w:p w:rsidR="005D41E2" w:rsidRDefault="005D41E2" w:rsidP="005D41E2">
            <w:pPr>
              <w:pStyle w:val="BPVerweisFach"/>
              <w:jc w:val="both"/>
            </w:pPr>
            <w:r>
              <w:t>Mathematik: 3.2.3 Leitidee Raum und Form</w:t>
            </w:r>
          </w:p>
          <w:p w:rsidR="005D41E2" w:rsidRDefault="005D41E2" w:rsidP="005D41E2">
            <w:pPr>
              <w:pStyle w:val="BPVerweisFach"/>
              <w:jc w:val="both"/>
            </w:pPr>
            <w:r>
              <w:t>Naturwissenschaft und Technik: 3.2.1 Werkstoffe und Produkte</w:t>
            </w:r>
          </w:p>
          <w:p w:rsidR="005D41E2" w:rsidRDefault="005D41E2" w:rsidP="005D41E2">
            <w:pPr>
              <w:pStyle w:val="BPVerweisFach"/>
              <w:jc w:val="both"/>
            </w:pPr>
            <w:r>
              <w:t>Physik: 3.1.2 Optik und Akustik</w:t>
            </w:r>
          </w:p>
          <w:p w:rsidR="005D41E2" w:rsidRPr="004A7CE3" w:rsidRDefault="005D41E2" w:rsidP="005D41E2">
            <w:pPr>
              <w:pStyle w:val="BPVerweisLeitprinzip"/>
              <w:jc w:val="both"/>
            </w:pPr>
            <w:r w:rsidRPr="004A7CE3">
              <w:t>MB</w:t>
            </w:r>
            <w:r w:rsidRPr="004A7CE3">
              <w:tab/>
              <w:t>Produktion und Präsentation</w:t>
            </w:r>
          </w:p>
        </w:tc>
        <w:tc>
          <w:tcPr>
            <w:tcW w:w="3602" w:type="dxa"/>
            <w:shd w:val="clear" w:color="auto" w:fill="FFF9D3"/>
          </w:tcPr>
          <w:p w:rsidR="005D41E2" w:rsidRPr="00B66F7F" w:rsidRDefault="005D41E2" w:rsidP="005D41E2">
            <w:pPr>
              <w:pStyle w:val="BPVerweisFach"/>
            </w:pPr>
            <w:r>
              <w:t>Deutsch: 3.3.1.3 Medien</w:t>
            </w:r>
          </w:p>
        </w:tc>
        <w:tc>
          <w:tcPr>
            <w:tcW w:w="3603" w:type="dxa"/>
            <w:shd w:val="clear" w:color="auto" w:fill="FFF9D3"/>
          </w:tcPr>
          <w:p w:rsidR="005D41E2" w:rsidRPr="005D41E2" w:rsidRDefault="005D41E2" w:rsidP="005D41E2">
            <w:pPr>
              <w:pStyle w:val="BPVerweisLeitprinzip"/>
            </w:pPr>
            <w:r w:rsidRPr="005D41E2">
              <w:t xml:space="preserve">BO </w:t>
            </w:r>
            <w:r w:rsidRPr="005D41E2">
              <w:tab/>
              <w:t>Fachspezifische und handlungsorientierte Zugänge zur Arbeits- und Berufswelt</w:t>
            </w:r>
          </w:p>
        </w:tc>
      </w:tr>
    </w:tbl>
    <w:p w:rsidR="00763440" w:rsidRDefault="00763440"/>
    <w:sectPr w:rsidR="00763440" w:rsidSect="005D41E2">
      <w:pgSz w:w="16820" w:h="11900" w:orient="landscape"/>
      <w:pgMar w:top="1417" w:right="1134" w:bottom="1417" w:left="1417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style="width:60pt;height:60pt" o:bullet="t">
        <v:imagedata r:id="rId1" o:title="F-web"/>
      </v:shape>
    </w:pict>
  </w:numPicBullet>
  <w:numPicBullet w:numPicBulletId="1">
    <w:pict>
      <v:shape id="_x0000_i1154" type="#_x0000_t75" style="width:60pt;height:60pt" o:bullet="t">
        <v:imagedata r:id="rId2" o:title="L-web"/>
      </v:shape>
    </w:pict>
  </w:numPicBullet>
  <w:abstractNum w:abstractNumId="0">
    <w:nsid w:val="1FA77391"/>
    <w:multiLevelType w:val="hybridMultilevel"/>
    <w:tmpl w:val="76448B7E"/>
    <w:lvl w:ilvl="0" w:tplc="C3925200">
      <w:start w:val="1"/>
      <w:numFmt w:val="bullet"/>
      <w:pStyle w:val="BPVerweisFach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B64CFD8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9082D2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63854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ADEA68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6E16B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190DE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D876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A0EAFF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3E7832EE"/>
    <w:multiLevelType w:val="hybridMultilevel"/>
    <w:tmpl w:val="7AA0D382"/>
    <w:lvl w:ilvl="0" w:tplc="C5B2F220">
      <w:start w:val="1"/>
      <w:numFmt w:val="bullet"/>
      <w:pStyle w:val="BPVerweisLeitprinzip"/>
      <w:lvlText w:val=""/>
      <w:lvlPicBulletId w:val="1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E2"/>
    <w:rsid w:val="00511E2F"/>
    <w:rsid w:val="005D41E2"/>
    <w:rsid w:val="00702F94"/>
    <w:rsid w:val="0076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1AD5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4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PIKKompetenzBeschreibung">
    <w:name w:val="BP_IK_Kompetenz_Beschreibung"/>
    <w:basedOn w:val="Standard"/>
    <w:uiPriority w:val="1"/>
    <w:qFormat/>
    <w:rsid w:val="005D41E2"/>
    <w:pPr>
      <w:spacing w:before="60" w:after="60" w:line="360" w:lineRule="auto"/>
      <w:jc w:val="both"/>
    </w:pPr>
    <w:rPr>
      <w:rFonts w:eastAsia="Calibri" w:cs="Arial"/>
      <w:sz w:val="20"/>
      <w:szCs w:val="20"/>
    </w:rPr>
  </w:style>
  <w:style w:type="paragraph" w:customStyle="1" w:styleId="BPVerweisFach">
    <w:name w:val="BP_Verweis_Fach"/>
    <w:basedOn w:val="Standard"/>
    <w:uiPriority w:val="99"/>
    <w:qFormat/>
    <w:rsid w:val="005D41E2"/>
    <w:pPr>
      <w:numPr>
        <w:numId w:val="1"/>
      </w:numPr>
      <w:tabs>
        <w:tab w:val="clear" w:pos="360"/>
        <w:tab w:val="left" w:pos="227"/>
        <w:tab w:val="left" w:pos="851"/>
      </w:tabs>
      <w:spacing w:line="276" w:lineRule="auto"/>
      <w:ind w:left="851" w:hanging="851"/>
    </w:pPr>
    <w:rPr>
      <w:rFonts w:eastAsia="Calibri" w:cs="Arial"/>
      <w:sz w:val="16"/>
      <w:szCs w:val="20"/>
    </w:rPr>
  </w:style>
  <w:style w:type="paragraph" w:customStyle="1" w:styleId="BPVerweisLeitprinzip">
    <w:name w:val="BP_Verweis_Leitprinzip"/>
    <w:basedOn w:val="Standard"/>
    <w:uiPriority w:val="1"/>
    <w:qFormat/>
    <w:rsid w:val="005D41E2"/>
    <w:pPr>
      <w:numPr>
        <w:numId w:val="2"/>
      </w:numPr>
      <w:tabs>
        <w:tab w:val="left" w:pos="227"/>
        <w:tab w:val="left" w:pos="851"/>
      </w:tabs>
      <w:spacing w:line="276" w:lineRule="auto"/>
      <w:ind w:left="851" w:hanging="851"/>
    </w:pPr>
    <w:rPr>
      <w:rFonts w:eastAsia="Calibri" w:cs="Arial"/>
      <w:sz w:val="16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4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PIKKompetenzBeschreibung">
    <w:name w:val="BP_IK_Kompetenz_Beschreibung"/>
    <w:basedOn w:val="Standard"/>
    <w:uiPriority w:val="1"/>
    <w:qFormat/>
    <w:rsid w:val="005D41E2"/>
    <w:pPr>
      <w:spacing w:before="60" w:after="60" w:line="360" w:lineRule="auto"/>
      <w:jc w:val="both"/>
    </w:pPr>
    <w:rPr>
      <w:rFonts w:eastAsia="Calibri" w:cs="Arial"/>
      <w:sz w:val="20"/>
      <w:szCs w:val="20"/>
    </w:rPr>
  </w:style>
  <w:style w:type="paragraph" w:customStyle="1" w:styleId="BPVerweisFach">
    <w:name w:val="BP_Verweis_Fach"/>
    <w:basedOn w:val="Standard"/>
    <w:uiPriority w:val="99"/>
    <w:qFormat/>
    <w:rsid w:val="005D41E2"/>
    <w:pPr>
      <w:numPr>
        <w:numId w:val="1"/>
      </w:numPr>
      <w:tabs>
        <w:tab w:val="clear" w:pos="360"/>
        <w:tab w:val="left" w:pos="227"/>
        <w:tab w:val="left" w:pos="851"/>
      </w:tabs>
      <w:spacing w:line="276" w:lineRule="auto"/>
      <w:ind w:left="851" w:hanging="851"/>
    </w:pPr>
    <w:rPr>
      <w:rFonts w:eastAsia="Calibri" w:cs="Arial"/>
      <w:sz w:val="16"/>
      <w:szCs w:val="20"/>
    </w:rPr>
  </w:style>
  <w:style w:type="paragraph" w:customStyle="1" w:styleId="BPVerweisLeitprinzip">
    <w:name w:val="BP_Verweis_Leitprinzip"/>
    <w:basedOn w:val="Standard"/>
    <w:uiPriority w:val="1"/>
    <w:qFormat/>
    <w:rsid w:val="005D41E2"/>
    <w:pPr>
      <w:numPr>
        <w:numId w:val="2"/>
      </w:numPr>
      <w:tabs>
        <w:tab w:val="left" w:pos="227"/>
        <w:tab w:val="left" w:pos="851"/>
      </w:tabs>
      <w:spacing w:line="276" w:lineRule="auto"/>
      <w:ind w:left="851" w:hanging="851"/>
    </w:pPr>
    <w:rPr>
      <w:rFonts w:eastAsia="Calibri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3817</Characters>
  <Application>Microsoft Macintosh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Bösenberg</dc:creator>
  <cp:keywords/>
  <dc:description/>
  <cp:lastModifiedBy>Ulrich Bösenberg</cp:lastModifiedBy>
  <cp:revision>1</cp:revision>
  <dcterms:created xsi:type="dcterms:W3CDTF">2015-06-04T16:43:00Z</dcterms:created>
  <dcterms:modified xsi:type="dcterms:W3CDTF">2015-06-04T17:05:00Z</dcterms:modified>
</cp:coreProperties>
</file>