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3602"/>
        <w:gridCol w:w="3602"/>
        <w:gridCol w:w="3602"/>
        <w:gridCol w:w="3603"/>
      </w:tblGrid>
      <w:tr w:rsidR="00035BFF" w:rsidTr="00035BFF">
        <w:tc>
          <w:tcPr>
            <w:tcW w:w="14409" w:type="dxa"/>
            <w:gridSpan w:val="4"/>
            <w:shd w:val="clear" w:color="auto" w:fill="F79646" w:themeFill="accent6"/>
          </w:tcPr>
          <w:p w:rsidR="00035BFF" w:rsidRDefault="00035BFF">
            <w:pPr>
              <w:rPr>
                <w:b/>
              </w:rPr>
            </w:pPr>
            <w:r>
              <w:rPr>
                <w:b/>
              </w:rPr>
              <w:t>BP 2016 GYMNASIUM, BILDENDE KUNST, ANHÖRUNGSFASSUNG MAI 2015                                               SYNOPSE MALEREI</w:t>
            </w:r>
          </w:p>
          <w:p w:rsidR="00035BFF" w:rsidRPr="00035BFF" w:rsidRDefault="00035BFF">
            <w:pPr>
              <w:rPr>
                <w:b/>
              </w:rPr>
            </w:pPr>
          </w:p>
        </w:tc>
      </w:tr>
      <w:tr w:rsidR="00035BFF" w:rsidTr="00035BFF">
        <w:tc>
          <w:tcPr>
            <w:tcW w:w="3602" w:type="dxa"/>
          </w:tcPr>
          <w:p w:rsidR="00035BFF" w:rsidRDefault="00035BFF">
            <w:r>
              <w:t>Klassen 5/6</w:t>
            </w:r>
          </w:p>
        </w:tc>
        <w:tc>
          <w:tcPr>
            <w:tcW w:w="3602" w:type="dxa"/>
          </w:tcPr>
          <w:p w:rsidR="00035BFF" w:rsidRDefault="00035BFF">
            <w:r>
              <w:t>Klassen 7/8</w:t>
            </w:r>
          </w:p>
        </w:tc>
        <w:tc>
          <w:tcPr>
            <w:tcW w:w="3602" w:type="dxa"/>
          </w:tcPr>
          <w:p w:rsidR="00035BFF" w:rsidRDefault="00035BFF">
            <w:r>
              <w:t>Klassen 9/10</w:t>
            </w:r>
          </w:p>
        </w:tc>
        <w:tc>
          <w:tcPr>
            <w:tcW w:w="3603" w:type="dxa"/>
          </w:tcPr>
          <w:p w:rsidR="00035BFF" w:rsidRDefault="00035BFF">
            <w:r>
              <w:t>Klassen 11/12</w:t>
            </w:r>
          </w:p>
        </w:tc>
      </w:tr>
      <w:tr w:rsidR="003B51B3" w:rsidTr="003B51B3">
        <w:tc>
          <w:tcPr>
            <w:tcW w:w="3602" w:type="dxa"/>
            <w:shd w:val="clear" w:color="auto" w:fill="FBD4B4" w:themeFill="accent6" w:themeFillTint="66"/>
          </w:tcPr>
          <w:p w:rsidR="003B51B3" w:rsidRPr="007E5EEC" w:rsidRDefault="003B51B3" w:rsidP="00035BFF">
            <w:pPr>
              <w:pStyle w:val="BPIKKompetenzBeschreibung"/>
              <w:jc w:val="left"/>
            </w:pPr>
            <w:r w:rsidRPr="007E5EEC">
              <w:t>D</w:t>
            </w:r>
            <w:r>
              <w:t>ie Schülerinnen und Schüler setzen Farbe bewusst ein</w:t>
            </w:r>
            <w:r w:rsidRPr="007E5EEC">
              <w:t xml:space="preserve"> (zum Beispiel </w:t>
            </w:r>
            <w:proofErr w:type="gramStart"/>
            <w:r w:rsidRPr="007E5EEC">
              <w:t>intuitiv, experimentell,</w:t>
            </w:r>
            <w:proofErr w:type="gramEnd"/>
            <w:r w:rsidRPr="007E5EEC">
              <w:t xml:space="preserve"> expressiv, systematisch). Sie gestalten Bilder mit verschiedenen malerischen Mitteln und M</w:t>
            </w:r>
            <w:r>
              <w:t>aterialien. Dabei drück</w:t>
            </w:r>
            <w:r w:rsidRPr="007E5EEC">
              <w:t>en sie Erlebnisse, Vors</w:t>
            </w:r>
            <w:r>
              <w:t>tellungen und Gefühle aus</w:t>
            </w:r>
            <w:r w:rsidRPr="007E5EEC">
              <w:t>.</w:t>
            </w:r>
          </w:p>
          <w:p w:rsidR="003B51B3" w:rsidRPr="007E5EEC" w:rsidRDefault="003B51B3" w:rsidP="00035BFF">
            <w:pPr>
              <w:pStyle w:val="BPIKKompetenzBeschreibung"/>
              <w:jc w:val="left"/>
            </w:pPr>
            <w:r w:rsidRPr="007E5EEC">
              <w:t>Die Schülerinnen und Schüler können</w:t>
            </w:r>
          </w:p>
          <w:p w:rsidR="003B51B3" w:rsidRPr="00B66F7F" w:rsidRDefault="003B51B3" w:rsidP="00035BFF">
            <w:pPr>
              <w:pStyle w:val="BPIKKompetenzBeschreibung"/>
              <w:jc w:val="left"/>
            </w:pPr>
          </w:p>
        </w:tc>
        <w:tc>
          <w:tcPr>
            <w:tcW w:w="3602" w:type="dxa"/>
            <w:shd w:val="clear" w:color="auto" w:fill="FBD4B4" w:themeFill="accent6" w:themeFillTint="66"/>
          </w:tcPr>
          <w:p w:rsidR="003B51B3" w:rsidRPr="00B66F7F" w:rsidRDefault="003B51B3" w:rsidP="002C1005">
            <w:pPr>
              <w:pStyle w:val="BPIKKompetenzBeschreibung"/>
              <w:jc w:val="left"/>
            </w:pPr>
            <w:r w:rsidRPr="00B66F7F">
              <w:t>D</w:t>
            </w:r>
            <w:r>
              <w:t>ie Schülerinnen und Schüler setz</w:t>
            </w:r>
            <w:r w:rsidRPr="00B66F7F">
              <w:t>en in Gestaltungsp</w:t>
            </w:r>
            <w:r>
              <w:t>rozessen Farbe gezielt ein</w:t>
            </w:r>
            <w:r w:rsidRPr="00B66F7F">
              <w:t xml:space="preserve"> und kombinieren</w:t>
            </w:r>
            <w:r>
              <w:t xml:space="preserve"> diese</w:t>
            </w:r>
            <w:r w:rsidRPr="00B66F7F">
              <w:t>. Sie nutzen Farbe als</w:t>
            </w:r>
            <w:r>
              <w:t xml:space="preserve"> Ausdrucksmittel,</w:t>
            </w:r>
            <w:r w:rsidRPr="00B66F7F">
              <w:t xml:space="preserve"> zur Formsteigerung und </w:t>
            </w:r>
            <w:r>
              <w:t>zur Erzeugung von</w:t>
            </w:r>
            <w:r w:rsidRPr="00B66F7F">
              <w:t xml:space="preserve"> Plastizität. Die Schülerinnen und Schüler untersuchen die räumliche Wirkung von Farbe und setzen diese gezielt zur Erweiterung ihrer Vorstellungswelten ein.</w:t>
            </w:r>
          </w:p>
          <w:p w:rsidR="003B51B3" w:rsidRPr="00B66F7F" w:rsidRDefault="003B51B3" w:rsidP="002C1005">
            <w:pPr>
              <w:pStyle w:val="BPIKKompetenzBeschreibung"/>
              <w:jc w:val="left"/>
            </w:pPr>
            <w:r w:rsidRPr="00B66F7F">
              <w:t>Die Schülerinnen und Schüler können</w:t>
            </w:r>
          </w:p>
          <w:p w:rsidR="003B51B3" w:rsidRPr="00B66F7F" w:rsidRDefault="003B51B3" w:rsidP="002C1005">
            <w:pPr>
              <w:rPr>
                <w:sz w:val="20"/>
                <w:szCs w:val="20"/>
              </w:rPr>
            </w:pPr>
          </w:p>
        </w:tc>
        <w:tc>
          <w:tcPr>
            <w:tcW w:w="3602" w:type="dxa"/>
            <w:shd w:val="clear" w:color="auto" w:fill="FBD4B4" w:themeFill="accent6" w:themeFillTint="66"/>
          </w:tcPr>
          <w:p w:rsidR="003B51B3" w:rsidRPr="005640C6" w:rsidRDefault="003B51B3" w:rsidP="002C1005">
            <w:pPr>
              <w:pStyle w:val="BPIKKompetenzBeschreibung"/>
              <w:jc w:val="left"/>
            </w:pPr>
            <w:r w:rsidRPr="005640C6">
              <w:t>D</w:t>
            </w:r>
            <w:r>
              <w:t>ie Schülerinnen und Schüler setz</w:t>
            </w:r>
            <w:r w:rsidRPr="005640C6">
              <w:t>en in Gestaltungsp</w:t>
            </w:r>
            <w:r>
              <w:t>rozessen Farbe gezielt ein</w:t>
            </w:r>
            <w:r w:rsidRPr="005640C6">
              <w:t>. In offenen Prozessen erproben und entwickeln sie freie malerische Ausdrucksformen zwischen Gegenständlichkeit und Abstraktion. Sie kombinieren dabei verschiedene malerische Mittel.</w:t>
            </w:r>
          </w:p>
          <w:p w:rsidR="003B51B3" w:rsidRPr="005640C6" w:rsidRDefault="003B51B3" w:rsidP="002C1005">
            <w:pPr>
              <w:pStyle w:val="BPIKKompetenzBeschreibung"/>
              <w:jc w:val="left"/>
            </w:pPr>
            <w:r w:rsidRPr="005640C6">
              <w:t>Die Schülerinnen und Schüler können</w:t>
            </w:r>
          </w:p>
          <w:p w:rsidR="003B51B3" w:rsidRPr="005640C6" w:rsidRDefault="003B51B3" w:rsidP="002C1005">
            <w:pPr>
              <w:pStyle w:val="BPIKKompetenzBeschreibung"/>
              <w:jc w:val="left"/>
            </w:pPr>
          </w:p>
        </w:tc>
        <w:tc>
          <w:tcPr>
            <w:tcW w:w="3603" w:type="dxa"/>
            <w:shd w:val="clear" w:color="auto" w:fill="FBD4B4" w:themeFill="accent6" w:themeFillTint="66"/>
          </w:tcPr>
          <w:p w:rsidR="003B51B3" w:rsidRPr="00BB7129" w:rsidRDefault="003B51B3" w:rsidP="002C1005">
            <w:pPr>
              <w:pStyle w:val="BPIKKompetenzBeschreibung"/>
              <w:jc w:val="left"/>
            </w:pPr>
            <w:r w:rsidRPr="00BB7129">
              <w:t>Die Schülerinnen und Schüler erproben und entwickeln malerische Ausdrucksformen in offenen Prozessen zwischen Konkretion und Abstraktion. Sie lernen unterschiedliche malerische  Verfahren kennen und nutzen diese bewusst zur eigenen Gestaltung. Sie erzielen mit malerischen Mitteln Wirkung, Ausdruck und Bedeutung und erreichen eine angemessene Komplexität und Prägnanz in der Gestaltung.</w:t>
            </w:r>
          </w:p>
          <w:p w:rsidR="003B51B3" w:rsidRPr="005640C6" w:rsidRDefault="003B51B3" w:rsidP="002C1005">
            <w:pPr>
              <w:pStyle w:val="BPIKKompetenzBeschreibung"/>
              <w:jc w:val="left"/>
            </w:pPr>
            <w:r w:rsidRPr="00060DB9">
              <w:t>Die Schülerinnen und Schüler können</w:t>
            </w:r>
          </w:p>
        </w:tc>
      </w:tr>
      <w:tr w:rsidR="003B51B3" w:rsidTr="003B51B3">
        <w:tc>
          <w:tcPr>
            <w:tcW w:w="3602" w:type="dxa"/>
            <w:shd w:val="clear" w:color="auto" w:fill="FDE9D9" w:themeFill="accent6" w:themeFillTint="33"/>
          </w:tcPr>
          <w:p w:rsidR="003B51B3" w:rsidRPr="00035BFF" w:rsidRDefault="003B51B3" w:rsidP="00035BFF">
            <w:pPr>
              <w:rPr>
                <w:sz w:val="20"/>
                <w:szCs w:val="20"/>
              </w:rPr>
            </w:pPr>
            <w:r w:rsidRPr="00035BFF">
              <w:rPr>
                <w:sz w:val="20"/>
                <w:szCs w:val="20"/>
              </w:rPr>
              <w:t>(1) verschiedene malerische Mittel, Maltechniken, auch selbst hergestellte Malmaterialien, Werkzeuge und deren Wirkungen spielerisch erproben, differenziert und gezielt einsetzen</w:t>
            </w:r>
          </w:p>
        </w:tc>
        <w:tc>
          <w:tcPr>
            <w:tcW w:w="3602" w:type="dxa"/>
            <w:shd w:val="clear" w:color="auto" w:fill="FDE9D9" w:themeFill="accent6" w:themeFillTint="33"/>
          </w:tcPr>
          <w:p w:rsidR="003B51B3" w:rsidRPr="003B51B3" w:rsidRDefault="003B51B3" w:rsidP="002C1005">
            <w:pPr>
              <w:rPr>
                <w:sz w:val="20"/>
                <w:szCs w:val="20"/>
              </w:rPr>
            </w:pPr>
            <w:r w:rsidRPr="003B51B3">
              <w:rPr>
                <w:sz w:val="20"/>
                <w:szCs w:val="20"/>
              </w:rPr>
              <w:t>(1)</w:t>
            </w:r>
            <w:r w:rsidRPr="003B51B3">
              <w:rPr>
                <w:sz w:val="20"/>
                <w:szCs w:val="20"/>
              </w:rPr>
              <w:t xml:space="preserve"> </w:t>
            </w:r>
            <w:r w:rsidRPr="003B51B3">
              <w:rPr>
                <w:sz w:val="20"/>
                <w:szCs w:val="20"/>
              </w:rPr>
              <w:t>Gestaltungsmittel der Malerei sowohl spielerisch erproben als auch absichtsvoll und zielgerichtet einsetzen</w:t>
            </w:r>
          </w:p>
        </w:tc>
        <w:tc>
          <w:tcPr>
            <w:tcW w:w="3602" w:type="dxa"/>
            <w:shd w:val="clear" w:color="auto" w:fill="FDE9D9" w:themeFill="accent6" w:themeFillTint="33"/>
          </w:tcPr>
          <w:p w:rsidR="003B51B3" w:rsidRPr="003B51B3" w:rsidRDefault="003B51B3" w:rsidP="002C1005">
            <w:pPr>
              <w:rPr>
                <w:sz w:val="20"/>
                <w:szCs w:val="20"/>
              </w:rPr>
            </w:pPr>
            <w:r w:rsidRPr="003B51B3">
              <w:rPr>
                <w:sz w:val="20"/>
                <w:szCs w:val="20"/>
              </w:rPr>
              <w:t>(1) Ordnungen, Funktionen und Wirkungen von Farbe erkennen und auf dieser Grundlage Farbmaterialien und Maltechniken erproben und für die eigene Bildidee anwenden</w:t>
            </w:r>
          </w:p>
        </w:tc>
        <w:tc>
          <w:tcPr>
            <w:tcW w:w="3603" w:type="dxa"/>
            <w:shd w:val="clear" w:color="auto" w:fill="FDE9D9" w:themeFill="accent6" w:themeFillTint="33"/>
          </w:tcPr>
          <w:p w:rsidR="003B51B3" w:rsidRPr="003B51B3" w:rsidRDefault="003B51B3" w:rsidP="002C1005">
            <w:pPr>
              <w:rPr>
                <w:sz w:val="20"/>
                <w:szCs w:val="20"/>
              </w:rPr>
            </w:pPr>
            <w:r w:rsidRPr="003B51B3">
              <w:rPr>
                <w:sz w:val="20"/>
                <w:szCs w:val="20"/>
              </w:rPr>
              <w:t>(1) die aus der experimentellen und forschenden Auseinandersetzung mit verschiedenen Farben, Materialien und deren Wirkung resultierenden Erkenntnisse für die eigene Gestaltung nutzen</w:t>
            </w:r>
          </w:p>
        </w:tc>
      </w:tr>
      <w:tr w:rsidR="003B51B3" w:rsidTr="003B51B3">
        <w:tc>
          <w:tcPr>
            <w:tcW w:w="3602" w:type="dxa"/>
            <w:shd w:val="clear" w:color="auto" w:fill="FABF8F" w:themeFill="accent6" w:themeFillTint="99"/>
          </w:tcPr>
          <w:p w:rsidR="003B51B3" w:rsidRPr="00035BFF" w:rsidRDefault="003B51B3" w:rsidP="00035BFF">
            <w:pPr>
              <w:rPr>
                <w:sz w:val="20"/>
                <w:szCs w:val="20"/>
              </w:rPr>
            </w:pPr>
            <w:r w:rsidRPr="00035BFF">
              <w:rPr>
                <w:sz w:val="20"/>
                <w:szCs w:val="20"/>
              </w:rPr>
              <w:t>(2) grundlegende Farbbeziehungen und F</w:t>
            </w:r>
            <w:r>
              <w:rPr>
                <w:sz w:val="20"/>
                <w:szCs w:val="20"/>
              </w:rPr>
              <w:t>arbwirkungen (Farbverwandtschaf</w:t>
            </w:r>
            <w:r w:rsidRPr="00035BFF">
              <w:rPr>
                <w:sz w:val="20"/>
                <w:szCs w:val="20"/>
              </w:rPr>
              <w:t>ten, Farbkontraste, Farbqualitäten, Farbfunktionen, Farbordnungen) erkennen</w:t>
            </w:r>
          </w:p>
        </w:tc>
        <w:tc>
          <w:tcPr>
            <w:tcW w:w="3602" w:type="dxa"/>
            <w:shd w:val="clear" w:color="auto" w:fill="FABF8F" w:themeFill="accent6" w:themeFillTint="99"/>
          </w:tcPr>
          <w:p w:rsidR="003B51B3" w:rsidRPr="003B51B3" w:rsidRDefault="003B51B3" w:rsidP="002C1005">
            <w:pPr>
              <w:rPr>
                <w:sz w:val="20"/>
                <w:szCs w:val="20"/>
              </w:rPr>
            </w:pPr>
            <w:r w:rsidRPr="003B51B3">
              <w:rPr>
                <w:sz w:val="20"/>
                <w:szCs w:val="20"/>
              </w:rPr>
              <w:t>(2) grundlegende Ordnungssysteme und Funktionen von Farbe (zum Beispiel Gegenstandsfarbe, Erscheinungsfarbe, Ausdrucksfarbe, Symbolfarbe, Farbpsychologie und ihre kulturelle Gebundenheit) unterscheiden und anwenden</w:t>
            </w:r>
          </w:p>
        </w:tc>
        <w:tc>
          <w:tcPr>
            <w:tcW w:w="3602" w:type="dxa"/>
            <w:shd w:val="clear" w:color="auto" w:fill="FBD4B4" w:themeFill="accent6" w:themeFillTint="66"/>
          </w:tcPr>
          <w:p w:rsidR="003B51B3" w:rsidRPr="003B51B3" w:rsidRDefault="003B51B3" w:rsidP="002C1005">
            <w:pPr>
              <w:rPr>
                <w:sz w:val="20"/>
                <w:szCs w:val="20"/>
              </w:rPr>
            </w:pPr>
            <w:r w:rsidRPr="003B51B3">
              <w:rPr>
                <w:sz w:val="20"/>
                <w:szCs w:val="20"/>
              </w:rPr>
              <w:t>(2) die aus der experimentellen und forschenden Auseinandersetzung mit Farbe resultierenden Erkenntnisse für gegenständliche und ungegenständliche Darstellung nutzen</w:t>
            </w:r>
            <w:bookmarkStart w:id="0" w:name="_GoBack"/>
            <w:bookmarkEnd w:id="0"/>
          </w:p>
        </w:tc>
        <w:tc>
          <w:tcPr>
            <w:tcW w:w="3603" w:type="dxa"/>
            <w:shd w:val="clear" w:color="auto" w:fill="FABF8F" w:themeFill="accent6" w:themeFillTint="99"/>
          </w:tcPr>
          <w:p w:rsidR="003B51B3" w:rsidRPr="003B51B3" w:rsidRDefault="003B51B3" w:rsidP="002C1005">
            <w:pPr>
              <w:rPr>
                <w:sz w:val="20"/>
                <w:szCs w:val="20"/>
              </w:rPr>
            </w:pPr>
            <w:r w:rsidRPr="003B51B3">
              <w:rPr>
                <w:sz w:val="20"/>
                <w:szCs w:val="20"/>
              </w:rPr>
              <w:t>(2) Ordnungen, Funktionen und Wirkungen von Farbe untersuchen und auf dieser Grundlage Farben, Farbmaterialien und Maltechniken in unterschiedlichen Kontexten erproben und gezielt anwenden</w:t>
            </w:r>
          </w:p>
        </w:tc>
      </w:tr>
      <w:tr w:rsidR="003B51B3" w:rsidTr="003B51B3">
        <w:tc>
          <w:tcPr>
            <w:tcW w:w="3602" w:type="dxa"/>
            <w:shd w:val="clear" w:color="auto" w:fill="FBD4B4" w:themeFill="accent6" w:themeFillTint="66"/>
          </w:tcPr>
          <w:p w:rsidR="003B51B3" w:rsidRPr="00035BFF" w:rsidRDefault="003B51B3" w:rsidP="00035BFF">
            <w:pPr>
              <w:rPr>
                <w:sz w:val="20"/>
                <w:szCs w:val="20"/>
              </w:rPr>
            </w:pPr>
            <w:r w:rsidRPr="00035BFF">
              <w:rPr>
                <w:sz w:val="20"/>
                <w:szCs w:val="20"/>
              </w:rPr>
              <w:lastRenderedPageBreak/>
              <w:t>(3) verschiedene Farben, Farbmaterialien, Farbträger und Werkzeuge für unterschiedliche Bildwirkungen einsetzen</w:t>
            </w:r>
          </w:p>
        </w:tc>
        <w:tc>
          <w:tcPr>
            <w:tcW w:w="3602" w:type="dxa"/>
            <w:shd w:val="clear" w:color="auto" w:fill="FBD4B4" w:themeFill="accent6" w:themeFillTint="66"/>
          </w:tcPr>
          <w:p w:rsidR="003B51B3" w:rsidRPr="003B51B3" w:rsidRDefault="003B51B3" w:rsidP="002C1005">
            <w:pPr>
              <w:rPr>
                <w:sz w:val="20"/>
                <w:szCs w:val="20"/>
              </w:rPr>
            </w:pPr>
            <w:r w:rsidRPr="003B51B3">
              <w:rPr>
                <w:sz w:val="20"/>
                <w:szCs w:val="20"/>
              </w:rPr>
              <w:t>(3) verschiedene malerische Mittel zur Darstellung und Steigerung von Räumlichkeit und Plastizität einsetzen (zum Beispiel Farbmodellierung, Hell-Dunkel, Farbperspektive, Luftperspektive)</w:t>
            </w:r>
          </w:p>
        </w:tc>
        <w:tc>
          <w:tcPr>
            <w:tcW w:w="3602" w:type="dxa"/>
            <w:shd w:val="clear" w:color="auto" w:fill="FBD4B4" w:themeFill="accent6" w:themeFillTint="66"/>
          </w:tcPr>
          <w:p w:rsidR="003B51B3" w:rsidRPr="003B51B3" w:rsidRDefault="003B51B3" w:rsidP="002C1005">
            <w:pPr>
              <w:pStyle w:val="BPVerweisFach"/>
              <w:numPr>
                <w:ilvl w:val="0"/>
                <w:numId w:val="0"/>
              </w:numPr>
              <w:ind w:left="851"/>
              <w:rPr>
                <w:sz w:val="20"/>
              </w:rPr>
            </w:pPr>
          </w:p>
        </w:tc>
        <w:tc>
          <w:tcPr>
            <w:tcW w:w="3603" w:type="dxa"/>
            <w:shd w:val="clear" w:color="auto" w:fill="FBD4B4" w:themeFill="accent6" w:themeFillTint="66"/>
          </w:tcPr>
          <w:p w:rsidR="003B51B3" w:rsidRPr="003B51B3" w:rsidRDefault="003B51B3" w:rsidP="002C1005">
            <w:pPr>
              <w:rPr>
                <w:sz w:val="20"/>
                <w:szCs w:val="20"/>
              </w:rPr>
            </w:pPr>
            <w:r w:rsidRPr="003B51B3">
              <w:rPr>
                <w:sz w:val="20"/>
                <w:szCs w:val="20"/>
              </w:rPr>
              <w:t>(3) malerische Mittel abbildhaft, abstrakt und experimentell anwenden und dabei Sichtbares, Vorstellbares, Ideen und Emotionen darstellen</w:t>
            </w:r>
          </w:p>
        </w:tc>
      </w:tr>
      <w:tr w:rsidR="003B51B3" w:rsidTr="003B51B3">
        <w:tc>
          <w:tcPr>
            <w:tcW w:w="3602" w:type="dxa"/>
            <w:shd w:val="clear" w:color="auto" w:fill="FDE9D9" w:themeFill="accent6" w:themeFillTint="33"/>
          </w:tcPr>
          <w:p w:rsidR="003B51B3" w:rsidRPr="00035BFF" w:rsidRDefault="003B51B3" w:rsidP="00035BFF">
            <w:pPr>
              <w:rPr>
                <w:sz w:val="20"/>
                <w:szCs w:val="20"/>
              </w:rPr>
            </w:pPr>
          </w:p>
        </w:tc>
        <w:tc>
          <w:tcPr>
            <w:tcW w:w="3602" w:type="dxa"/>
            <w:shd w:val="clear" w:color="auto" w:fill="FDE9D9" w:themeFill="accent6" w:themeFillTint="33"/>
          </w:tcPr>
          <w:p w:rsidR="003B51B3" w:rsidRPr="004A7CE3" w:rsidRDefault="003B51B3" w:rsidP="004F031B">
            <w:pPr>
              <w:pStyle w:val="BPVerweisLeitprinzip"/>
              <w:jc w:val="both"/>
            </w:pPr>
            <w:r w:rsidRPr="004A7CE3">
              <w:t xml:space="preserve">BO </w:t>
            </w:r>
            <w:r w:rsidRPr="004A7CE3">
              <w:tab/>
              <w:t>Einschätzung und Überprüfung eigener Fähigkeiten und Potenziale</w:t>
            </w:r>
          </w:p>
        </w:tc>
        <w:tc>
          <w:tcPr>
            <w:tcW w:w="3602" w:type="dxa"/>
            <w:shd w:val="clear" w:color="auto" w:fill="FDE9D9" w:themeFill="accent6" w:themeFillTint="33"/>
          </w:tcPr>
          <w:p w:rsidR="003B51B3" w:rsidRDefault="003B51B3" w:rsidP="002C1005">
            <w:pPr>
              <w:pStyle w:val="BPVerweisFach"/>
            </w:pPr>
            <w:r>
              <w:t>Biologie: 3.3.1.1 Informationssysteme</w:t>
            </w:r>
          </w:p>
          <w:p w:rsidR="003B51B3" w:rsidRPr="00B66F7F" w:rsidRDefault="003B51B3" w:rsidP="002C1005"/>
        </w:tc>
        <w:tc>
          <w:tcPr>
            <w:tcW w:w="3603" w:type="dxa"/>
            <w:shd w:val="clear" w:color="auto" w:fill="FDE9D9" w:themeFill="accent6" w:themeFillTint="33"/>
          </w:tcPr>
          <w:p w:rsidR="003B51B3" w:rsidRPr="000A79D7" w:rsidRDefault="003B51B3" w:rsidP="00A8353B">
            <w:pPr>
              <w:pStyle w:val="BPVerweisLeitprinzip"/>
            </w:pPr>
            <w:r w:rsidRPr="000A79D7">
              <w:t xml:space="preserve">BO </w:t>
            </w:r>
            <w:r w:rsidRPr="000A79D7">
              <w:tab/>
              <w:t>Fachspezifische und handlungsorientierte Zugänge zur Arbeits- und Berufswelt</w:t>
            </w:r>
          </w:p>
        </w:tc>
      </w:tr>
    </w:tbl>
    <w:p w:rsidR="00763440" w:rsidRDefault="00763440"/>
    <w:sectPr w:rsidR="00763440" w:rsidSect="00035BFF">
      <w:pgSz w:w="16820" w:h="11900" w:orient="landscape"/>
      <w:pgMar w:top="1417" w:right="1134" w:bottom="1417" w:left="1417" w:header="708" w:footer="708"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60pt;height:60pt" o:bullet="t">
        <v:imagedata r:id="rId1" o:title="L-web"/>
      </v:shape>
    </w:pict>
  </w:numPicBullet>
  <w:numPicBullet w:numPicBulletId="1">
    <w:pict>
      <v:shape id="_x0000_i1176" type="#_x0000_t75" style="width:60pt;height:60pt" o:bullet="t">
        <v:imagedata r:id="rId2" o:title="F-web"/>
      </v:shape>
    </w:pict>
  </w:numPicBullet>
  <w:abstractNum w:abstractNumId="0">
    <w:nsid w:val="1FA77391"/>
    <w:multiLevelType w:val="hybridMultilevel"/>
    <w:tmpl w:val="76448B7E"/>
    <w:lvl w:ilvl="0" w:tplc="C3925200">
      <w:start w:val="1"/>
      <w:numFmt w:val="bullet"/>
      <w:pStyle w:val="BPVerweisFach"/>
      <w:lvlText w:val=""/>
      <w:lvlPicBulletId w:val="1"/>
      <w:lvlJc w:val="left"/>
      <w:pPr>
        <w:tabs>
          <w:tab w:val="num" w:pos="360"/>
        </w:tabs>
        <w:ind w:left="360" w:hanging="360"/>
      </w:pPr>
      <w:rPr>
        <w:rFonts w:ascii="Symbol" w:hAnsi="Symbol" w:hint="default"/>
        <w:sz w:val="20"/>
        <w:szCs w:val="20"/>
      </w:rPr>
    </w:lvl>
    <w:lvl w:ilvl="1" w:tplc="B64CFD80" w:tentative="1">
      <w:start w:val="1"/>
      <w:numFmt w:val="bullet"/>
      <w:lvlText w:val=""/>
      <w:lvlJc w:val="left"/>
      <w:pPr>
        <w:tabs>
          <w:tab w:val="num" w:pos="1080"/>
        </w:tabs>
        <w:ind w:left="1080" w:hanging="360"/>
      </w:pPr>
      <w:rPr>
        <w:rFonts w:ascii="Symbol" w:hAnsi="Symbol" w:hint="default"/>
      </w:rPr>
    </w:lvl>
    <w:lvl w:ilvl="2" w:tplc="A9082D20" w:tentative="1">
      <w:start w:val="1"/>
      <w:numFmt w:val="bullet"/>
      <w:lvlText w:val=""/>
      <w:lvlJc w:val="left"/>
      <w:pPr>
        <w:tabs>
          <w:tab w:val="num" w:pos="1800"/>
        </w:tabs>
        <w:ind w:left="1800" w:hanging="360"/>
      </w:pPr>
      <w:rPr>
        <w:rFonts w:ascii="Symbol" w:hAnsi="Symbol" w:hint="default"/>
      </w:rPr>
    </w:lvl>
    <w:lvl w:ilvl="3" w:tplc="96385466" w:tentative="1">
      <w:start w:val="1"/>
      <w:numFmt w:val="bullet"/>
      <w:lvlText w:val=""/>
      <w:lvlJc w:val="left"/>
      <w:pPr>
        <w:tabs>
          <w:tab w:val="num" w:pos="2520"/>
        </w:tabs>
        <w:ind w:left="2520" w:hanging="360"/>
      </w:pPr>
      <w:rPr>
        <w:rFonts w:ascii="Symbol" w:hAnsi="Symbol" w:hint="default"/>
      </w:rPr>
    </w:lvl>
    <w:lvl w:ilvl="4" w:tplc="4ADEA684" w:tentative="1">
      <w:start w:val="1"/>
      <w:numFmt w:val="bullet"/>
      <w:lvlText w:val=""/>
      <w:lvlJc w:val="left"/>
      <w:pPr>
        <w:tabs>
          <w:tab w:val="num" w:pos="3240"/>
        </w:tabs>
        <w:ind w:left="3240" w:hanging="360"/>
      </w:pPr>
      <w:rPr>
        <w:rFonts w:ascii="Symbol" w:hAnsi="Symbol" w:hint="default"/>
      </w:rPr>
    </w:lvl>
    <w:lvl w:ilvl="5" w:tplc="926E16BC" w:tentative="1">
      <w:start w:val="1"/>
      <w:numFmt w:val="bullet"/>
      <w:lvlText w:val=""/>
      <w:lvlJc w:val="left"/>
      <w:pPr>
        <w:tabs>
          <w:tab w:val="num" w:pos="3960"/>
        </w:tabs>
        <w:ind w:left="3960" w:hanging="360"/>
      </w:pPr>
      <w:rPr>
        <w:rFonts w:ascii="Symbol" w:hAnsi="Symbol" w:hint="default"/>
      </w:rPr>
    </w:lvl>
    <w:lvl w:ilvl="6" w:tplc="8190DE46" w:tentative="1">
      <w:start w:val="1"/>
      <w:numFmt w:val="bullet"/>
      <w:lvlText w:val=""/>
      <w:lvlJc w:val="left"/>
      <w:pPr>
        <w:tabs>
          <w:tab w:val="num" w:pos="4680"/>
        </w:tabs>
        <w:ind w:left="4680" w:hanging="360"/>
      </w:pPr>
      <w:rPr>
        <w:rFonts w:ascii="Symbol" w:hAnsi="Symbol" w:hint="default"/>
      </w:rPr>
    </w:lvl>
    <w:lvl w:ilvl="7" w:tplc="9ED8766C" w:tentative="1">
      <w:start w:val="1"/>
      <w:numFmt w:val="bullet"/>
      <w:lvlText w:val=""/>
      <w:lvlJc w:val="left"/>
      <w:pPr>
        <w:tabs>
          <w:tab w:val="num" w:pos="5400"/>
        </w:tabs>
        <w:ind w:left="5400" w:hanging="360"/>
      </w:pPr>
      <w:rPr>
        <w:rFonts w:ascii="Symbol" w:hAnsi="Symbol" w:hint="default"/>
      </w:rPr>
    </w:lvl>
    <w:lvl w:ilvl="8" w:tplc="8A0EAFF4" w:tentative="1">
      <w:start w:val="1"/>
      <w:numFmt w:val="bullet"/>
      <w:lvlText w:val=""/>
      <w:lvlJc w:val="left"/>
      <w:pPr>
        <w:tabs>
          <w:tab w:val="num" w:pos="6120"/>
        </w:tabs>
        <w:ind w:left="6120" w:hanging="360"/>
      </w:pPr>
      <w:rPr>
        <w:rFonts w:ascii="Symbol" w:hAnsi="Symbol" w:hint="default"/>
      </w:rPr>
    </w:lvl>
  </w:abstractNum>
  <w:abstractNum w:abstractNumId="1">
    <w:nsid w:val="3E7832EE"/>
    <w:multiLevelType w:val="hybridMultilevel"/>
    <w:tmpl w:val="7AA0D382"/>
    <w:lvl w:ilvl="0" w:tplc="C5B2F220">
      <w:start w:val="1"/>
      <w:numFmt w:val="bullet"/>
      <w:pStyle w:val="BPVerweisLeitprinzip"/>
      <w:lvlText w:val=""/>
      <w:lvlPicBulletId w:val="0"/>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FF"/>
    <w:rsid w:val="00035BFF"/>
    <w:rsid w:val="003B51B3"/>
    <w:rsid w:val="00702F94"/>
    <w:rsid w:val="007634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AD5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35B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035BFF"/>
    <w:pPr>
      <w:spacing w:before="60" w:after="60" w:line="360" w:lineRule="auto"/>
      <w:jc w:val="both"/>
    </w:pPr>
    <w:rPr>
      <w:rFonts w:eastAsia="Calibri" w:cs="Arial"/>
      <w:sz w:val="20"/>
      <w:szCs w:val="20"/>
    </w:rPr>
  </w:style>
  <w:style w:type="paragraph" w:customStyle="1" w:styleId="BPVerweisLeitprinzip">
    <w:name w:val="BP_Verweis_Leitprinzip"/>
    <w:basedOn w:val="Standard"/>
    <w:uiPriority w:val="1"/>
    <w:qFormat/>
    <w:rsid w:val="00035BFF"/>
    <w:pPr>
      <w:numPr>
        <w:numId w:val="1"/>
      </w:numPr>
      <w:tabs>
        <w:tab w:val="left" w:pos="227"/>
        <w:tab w:val="left" w:pos="851"/>
      </w:tabs>
      <w:spacing w:line="276" w:lineRule="auto"/>
      <w:ind w:left="851" w:hanging="851"/>
    </w:pPr>
    <w:rPr>
      <w:rFonts w:eastAsia="Calibri" w:cs="Arial"/>
      <w:sz w:val="16"/>
      <w:szCs w:val="20"/>
    </w:rPr>
  </w:style>
  <w:style w:type="paragraph" w:customStyle="1" w:styleId="BPVerweisFach">
    <w:name w:val="BP_Verweis_Fach"/>
    <w:basedOn w:val="Standard"/>
    <w:uiPriority w:val="99"/>
    <w:qFormat/>
    <w:rsid w:val="003B51B3"/>
    <w:pPr>
      <w:numPr>
        <w:numId w:val="2"/>
      </w:numPr>
      <w:tabs>
        <w:tab w:val="clear" w:pos="360"/>
        <w:tab w:val="left" w:pos="227"/>
        <w:tab w:val="left" w:pos="851"/>
      </w:tabs>
      <w:spacing w:line="276" w:lineRule="auto"/>
      <w:ind w:left="851" w:hanging="851"/>
    </w:pPr>
    <w:rPr>
      <w:rFonts w:eastAsia="Calibri" w:cs="Arial"/>
      <w:sz w:val="1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35B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035BFF"/>
    <w:pPr>
      <w:spacing w:before="60" w:after="60" w:line="360" w:lineRule="auto"/>
      <w:jc w:val="both"/>
    </w:pPr>
    <w:rPr>
      <w:rFonts w:eastAsia="Calibri" w:cs="Arial"/>
      <w:sz w:val="20"/>
      <w:szCs w:val="20"/>
    </w:rPr>
  </w:style>
  <w:style w:type="paragraph" w:customStyle="1" w:styleId="BPVerweisLeitprinzip">
    <w:name w:val="BP_Verweis_Leitprinzip"/>
    <w:basedOn w:val="Standard"/>
    <w:uiPriority w:val="1"/>
    <w:qFormat/>
    <w:rsid w:val="00035BFF"/>
    <w:pPr>
      <w:numPr>
        <w:numId w:val="1"/>
      </w:numPr>
      <w:tabs>
        <w:tab w:val="left" w:pos="227"/>
        <w:tab w:val="left" w:pos="851"/>
      </w:tabs>
      <w:spacing w:line="276" w:lineRule="auto"/>
      <w:ind w:left="851" w:hanging="851"/>
    </w:pPr>
    <w:rPr>
      <w:rFonts w:eastAsia="Calibri" w:cs="Arial"/>
      <w:sz w:val="16"/>
      <w:szCs w:val="20"/>
    </w:rPr>
  </w:style>
  <w:style w:type="paragraph" w:customStyle="1" w:styleId="BPVerweisFach">
    <w:name w:val="BP_Verweis_Fach"/>
    <w:basedOn w:val="Standard"/>
    <w:uiPriority w:val="99"/>
    <w:qFormat/>
    <w:rsid w:val="003B51B3"/>
    <w:pPr>
      <w:numPr>
        <w:numId w:val="2"/>
      </w:numPr>
      <w:tabs>
        <w:tab w:val="clear" w:pos="360"/>
        <w:tab w:val="left" w:pos="227"/>
        <w:tab w:val="left" w:pos="851"/>
      </w:tabs>
      <w:spacing w:line="276" w:lineRule="auto"/>
      <w:ind w:left="851" w:hanging="851"/>
    </w:pPr>
    <w:rPr>
      <w:rFonts w:eastAsia="Calibri"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3066</Characters>
  <Application>Microsoft Macintosh Word</Application>
  <DocSecurity>0</DocSecurity>
  <Lines>25</Lines>
  <Paragraphs>7</Paragraphs>
  <ScaleCrop>false</ScaleCrop>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Bösenberg</dc:creator>
  <cp:keywords/>
  <dc:description/>
  <cp:lastModifiedBy>Ulrich Bösenberg</cp:lastModifiedBy>
  <cp:revision>1</cp:revision>
  <dcterms:created xsi:type="dcterms:W3CDTF">2015-06-04T17:11:00Z</dcterms:created>
  <dcterms:modified xsi:type="dcterms:W3CDTF">2015-06-04T17:47:00Z</dcterms:modified>
</cp:coreProperties>
</file>