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3602"/>
        <w:gridCol w:w="3602"/>
        <w:gridCol w:w="3602"/>
        <w:gridCol w:w="3603"/>
      </w:tblGrid>
      <w:tr w:rsidR="00DE384A" w:rsidTr="00DE384A">
        <w:tc>
          <w:tcPr>
            <w:tcW w:w="14409" w:type="dxa"/>
            <w:gridSpan w:val="4"/>
            <w:shd w:val="clear" w:color="auto" w:fill="4F81BD" w:themeFill="accent1"/>
          </w:tcPr>
          <w:p w:rsidR="00DE384A" w:rsidRDefault="00DE384A">
            <w:pPr>
              <w:rPr>
                <w:b/>
              </w:rPr>
            </w:pPr>
            <w:r>
              <w:rPr>
                <w:b/>
              </w:rPr>
              <w:t>BP 2016 GYMNASIUM, BILDENDE KUNST, ANHÖRUNGSFASSUNG MAI 2015                                                 SYNOPSE MEDIEN</w:t>
            </w:r>
          </w:p>
          <w:p w:rsidR="00DE384A" w:rsidRPr="00DE384A" w:rsidRDefault="00DE384A">
            <w:pPr>
              <w:rPr>
                <w:b/>
              </w:rPr>
            </w:pPr>
          </w:p>
        </w:tc>
      </w:tr>
      <w:tr w:rsidR="00DE384A" w:rsidTr="00DE384A">
        <w:tc>
          <w:tcPr>
            <w:tcW w:w="3602" w:type="dxa"/>
          </w:tcPr>
          <w:p w:rsidR="00DE384A" w:rsidRDefault="00DE384A">
            <w:r>
              <w:t>Klassen 5/6</w:t>
            </w:r>
          </w:p>
        </w:tc>
        <w:tc>
          <w:tcPr>
            <w:tcW w:w="3602" w:type="dxa"/>
          </w:tcPr>
          <w:p w:rsidR="00DE384A" w:rsidRDefault="00DE384A">
            <w:r>
              <w:t>Klassen 7/8</w:t>
            </w:r>
          </w:p>
        </w:tc>
        <w:tc>
          <w:tcPr>
            <w:tcW w:w="3602" w:type="dxa"/>
          </w:tcPr>
          <w:p w:rsidR="00DE384A" w:rsidRDefault="00DE384A">
            <w:r>
              <w:t>Klassen 9/10</w:t>
            </w:r>
          </w:p>
        </w:tc>
        <w:tc>
          <w:tcPr>
            <w:tcW w:w="3603" w:type="dxa"/>
          </w:tcPr>
          <w:p w:rsidR="00DE384A" w:rsidRDefault="00DE384A">
            <w:r>
              <w:t>Klassen 11/12</w:t>
            </w:r>
          </w:p>
        </w:tc>
      </w:tr>
      <w:tr w:rsidR="00DE384A" w:rsidTr="00DE384A">
        <w:tc>
          <w:tcPr>
            <w:tcW w:w="3602" w:type="dxa"/>
            <w:shd w:val="clear" w:color="auto" w:fill="DBE5F1" w:themeFill="accent1" w:themeFillTint="33"/>
          </w:tcPr>
          <w:p w:rsidR="00DE384A" w:rsidRPr="009D12BB" w:rsidRDefault="00DE384A" w:rsidP="002C1005">
            <w:pPr>
              <w:pStyle w:val="BPIKKompetenzBeschreibung"/>
              <w:jc w:val="left"/>
            </w:pPr>
            <w:r w:rsidRPr="009D12BB">
              <w:t xml:space="preserve">Die Schülerinnen und Schüler nehmen Medien in ihrer Vielfalt und Bedeutung wahr. Sie lernen, </w:t>
            </w:r>
            <w:r>
              <w:t xml:space="preserve">diese </w:t>
            </w:r>
            <w:r w:rsidRPr="009D12BB">
              <w:t xml:space="preserve">bewusst als </w:t>
            </w:r>
            <w:r>
              <w:t>Dokumentations-, Kommunikations- und Gestaltungsmittel</w:t>
            </w:r>
            <w:r w:rsidRPr="009D12BB">
              <w:t xml:space="preserve"> einzusetzen und deren Wirkungszusamme</w:t>
            </w:r>
            <w:r>
              <w:t>n-</w:t>
            </w:r>
            <w:r w:rsidRPr="009D12BB">
              <w:t>hänge zu erschließen. Sie entwickeln Verantwortung im Umgang mit Bildmedien und Internet.</w:t>
            </w:r>
          </w:p>
          <w:p w:rsidR="00DE384A" w:rsidRPr="008C44E4" w:rsidRDefault="00DE384A" w:rsidP="002C1005">
            <w:pPr>
              <w:pStyle w:val="BPIKKompetenzBeschreibung"/>
              <w:jc w:val="left"/>
            </w:pPr>
            <w:r w:rsidRPr="00060DB9">
              <w:t>Die Schülerinnen und Schüler können</w:t>
            </w:r>
          </w:p>
          <w:p w:rsidR="00DE384A" w:rsidRPr="00B66F7F" w:rsidRDefault="00DE384A" w:rsidP="002C1005">
            <w:pPr>
              <w:rPr>
                <w:sz w:val="20"/>
                <w:szCs w:val="20"/>
              </w:rPr>
            </w:pPr>
          </w:p>
        </w:tc>
        <w:tc>
          <w:tcPr>
            <w:tcW w:w="3602" w:type="dxa"/>
            <w:shd w:val="clear" w:color="auto" w:fill="DBE5F1" w:themeFill="accent1" w:themeFillTint="33"/>
          </w:tcPr>
          <w:p w:rsidR="00DE384A" w:rsidRPr="00B66F7F" w:rsidRDefault="00DE384A" w:rsidP="002C1005">
            <w:pPr>
              <w:pStyle w:val="BPIKKompetenzBeschreibung"/>
              <w:jc w:val="left"/>
            </w:pPr>
            <w:r w:rsidRPr="00B66F7F">
              <w:t>Die Schülerinnen und Schüler analysieren verschiedene Medienprodukte und entwickeln und gestalten einfache Medien mit Hilfe von Bild-, Text- und Grafikprogrammen. Sie lernen mit Bildmedien und Internet reflektiert umzugehen (Nutzungsrechte, Persönlichkeitsrechte, Urheberrechte).</w:t>
            </w:r>
          </w:p>
          <w:p w:rsidR="00DE384A" w:rsidRPr="00B66F7F" w:rsidRDefault="00DE384A" w:rsidP="002C1005">
            <w:pPr>
              <w:spacing w:line="360" w:lineRule="auto"/>
              <w:rPr>
                <w:sz w:val="20"/>
                <w:szCs w:val="20"/>
              </w:rPr>
            </w:pPr>
            <w:r w:rsidRPr="00B66F7F">
              <w:rPr>
                <w:sz w:val="20"/>
                <w:szCs w:val="20"/>
              </w:rPr>
              <w:t>Die Schülerinnen und Schüler können</w:t>
            </w:r>
          </w:p>
        </w:tc>
        <w:tc>
          <w:tcPr>
            <w:tcW w:w="3602" w:type="dxa"/>
            <w:shd w:val="clear" w:color="auto" w:fill="DBE5F1" w:themeFill="accent1" w:themeFillTint="33"/>
          </w:tcPr>
          <w:p w:rsidR="00DE384A" w:rsidRPr="005640C6" w:rsidRDefault="00DE384A" w:rsidP="002C1005">
            <w:pPr>
              <w:pStyle w:val="BPIKKompetenzBeschreibung"/>
              <w:jc w:val="left"/>
            </w:pPr>
            <w:r w:rsidRPr="00203DA3">
              <w:t>Die Schülerinnen und Schüler analysieren und entwickeln Medienprodukte und setzen diese als Gestaltungs- und Kommunikationsmittel ein. Sie gehen mit Bildmedien und Internet reflektiert um</w:t>
            </w:r>
            <w:r>
              <w:t xml:space="preserve"> </w:t>
            </w:r>
            <w:r w:rsidRPr="005640C6">
              <w:t>(Nutzungsrechte, Persönlichkeitsrechte, Urheberrechte).</w:t>
            </w:r>
          </w:p>
          <w:p w:rsidR="00DE384A" w:rsidRPr="008C44E4" w:rsidRDefault="00DE384A" w:rsidP="002C1005">
            <w:pPr>
              <w:pStyle w:val="BPIKKompetenzBeschreibung"/>
              <w:jc w:val="left"/>
            </w:pPr>
            <w:r w:rsidRPr="00060DB9">
              <w:t>Die Schülerinnen und Schüler können</w:t>
            </w:r>
          </w:p>
          <w:p w:rsidR="00DE384A" w:rsidRPr="00B66F7F" w:rsidRDefault="00DE384A" w:rsidP="002C1005">
            <w:pPr>
              <w:rPr>
                <w:sz w:val="20"/>
                <w:szCs w:val="20"/>
              </w:rPr>
            </w:pPr>
          </w:p>
        </w:tc>
        <w:tc>
          <w:tcPr>
            <w:tcW w:w="3603" w:type="dxa"/>
            <w:shd w:val="clear" w:color="auto" w:fill="DBE5F1" w:themeFill="accent1" w:themeFillTint="33"/>
          </w:tcPr>
          <w:p w:rsidR="00DE384A" w:rsidRPr="00E5350F" w:rsidRDefault="00DE384A" w:rsidP="002C1005">
            <w:pPr>
              <w:pStyle w:val="BPIKKompetenzBeschreibung"/>
              <w:jc w:val="left"/>
            </w:pPr>
            <w:r w:rsidRPr="00E5350F">
              <w:t>Die Schülerinnen und Schüler nutzen und analysieren Medien in der jeweiligen Erscheinungsform und in ihrem Bedeutungszusammenhang und wenden sie gezielt als Gestaltungsmittel an. Sie verfolgen Medien im Wandel ihrer künstlerischen Wirkung und setzen Medien als Kommunikations- und Präsentationsmittel adäquat ein.</w:t>
            </w:r>
          </w:p>
          <w:p w:rsidR="00DE384A" w:rsidRPr="00B66F7F" w:rsidRDefault="00DE384A" w:rsidP="002C1005">
            <w:pPr>
              <w:pStyle w:val="BPIKKompetenzBeschreibung"/>
              <w:jc w:val="left"/>
            </w:pPr>
            <w:r w:rsidRPr="00060DB9">
              <w:t>Die Schülerinnen und Schüler können</w:t>
            </w:r>
          </w:p>
        </w:tc>
      </w:tr>
      <w:tr w:rsidR="00DE384A" w:rsidTr="00DE384A">
        <w:tc>
          <w:tcPr>
            <w:tcW w:w="3602" w:type="dxa"/>
            <w:shd w:val="clear" w:color="auto" w:fill="B8CCE4" w:themeFill="accent1" w:themeFillTint="66"/>
          </w:tcPr>
          <w:p w:rsidR="00DE384A" w:rsidRPr="00DE384A" w:rsidRDefault="00DE384A" w:rsidP="002C1005">
            <w:pPr>
              <w:rPr>
                <w:sz w:val="20"/>
                <w:szCs w:val="20"/>
              </w:rPr>
            </w:pPr>
            <w:r w:rsidRPr="00DE384A">
              <w:rPr>
                <w:sz w:val="20"/>
                <w:szCs w:val="20"/>
              </w:rPr>
              <w:t>(1) mit einfachen Möglichkeiten und Mitteln der Fotografie Bilder erstellen und weiterverarbeiten</w:t>
            </w:r>
          </w:p>
        </w:tc>
        <w:tc>
          <w:tcPr>
            <w:tcW w:w="3602" w:type="dxa"/>
            <w:shd w:val="clear" w:color="auto" w:fill="B8CCE4" w:themeFill="accent1" w:themeFillTint="66"/>
          </w:tcPr>
          <w:p w:rsidR="00DE384A" w:rsidRPr="00DE384A" w:rsidRDefault="00DE384A" w:rsidP="002C1005">
            <w:pPr>
              <w:rPr>
                <w:sz w:val="20"/>
                <w:szCs w:val="20"/>
              </w:rPr>
            </w:pPr>
            <w:r w:rsidRPr="00DE384A">
              <w:rPr>
                <w:sz w:val="20"/>
                <w:szCs w:val="20"/>
              </w:rPr>
              <w:t>(1) Bilder (zum Beispiel Fotografie, Film, Illustration, Grafik) gestalten und für analoge oder digitale Medien weiterverarbeiten oder verfremden</w:t>
            </w:r>
          </w:p>
        </w:tc>
        <w:tc>
          <w:tcPr>
            <w:tcW w:w="3602" w:type="dxa"/>
            <w:shd w:val="clear" w:color="auto" w:fill="B8CCE4" w:themeFill="accent1" w:themeFillTint="66"/>
          </w:tcPr>
          <w:p w:rsidR="00DE384A" w:rsidRPr="00DE384A" w:rsidRDefault="00DE384A" w:rsidP="002C1005">
            <w:pPr>
              <w:rPr>
                <w:sz w:val="20"/>
                <w:szCs w:val="20"/>
              </w:rPr>
            </w:pPr>
            <w:r w:rsidRPr="00DE384A">
              <w:rPr>
                <w:sz w:val="20"/>
                <w:szCs w:val="20"/>
              </w:rPr>
              <w:t>(1)  eigene visuelle Medienprodukte konzipieren, entwickeln und realisieren (zum Beispiel Bild- und Textkombination, Typografie, Layout, Werbung)</w:t>
            </w:r>
          </w:p>
        </w:tc>
        <w:tc>
          <w:tcPr>
            <w:tcW w:w="3603" w:type="dxa"/>
            <w:shd w:val="clear" w:color="auto" w:fill="4F81BD" w:themeFill="accent1"/>
          </w:tcPr>
          <w:p w:rsidR="00DE384A" w:rsidRPr="00DE384A" w:rsidRDefault="00DE384A" w:rsidP="002C1005">
            <w:pPr>
              <w:rPr>
                <w:sz w:val="20"/>
                <w:szCs w:val="20"/>
              </w:rPr>
            </w:pPr>
            <w:r w:rsidRPr="00DE384A">
              <w:rPr>
                <w:sz w:val="20"/>
                <w:szCs w:val="20"/>
              </w:rPr>
              <w:t>(1) Medien hinsichtlich ihrer Erscheinungsformen, Funktionen und Wirkungen untersuchen</w:t>
            </w:r>
          </w:p>
        </w:tc>
      </w:tr>
      <w:tr w:rsidR="00DE384A" w:rsidTr="00DE384A">
        <w:tc>
          <w:tcPr>
            <w:tcW w:w="3602" w:type="dxa"/>
            <w:shd w:val="clear" w:color="auto" w:fill="DBE5F1" w:themeFill="accent1" w:themeFillTint="33"/>
          </w:tcPr>
          <w:p w:rsidR="00DE384A" w:rsidRPr="00DE384A" w:rsidRDefault="00DE384A" w:rsidP="002C1005">
            <w:pPr>
              <w:rPr>
                <w:sz w:val="20"/>
                <w:szCs w:val="20"/>
              </w:rPr>
            </w:pPr>
            <w:r w:rsidRPr="00DE384A">
              <w:rPr>
                <w:sz w:val="20"/>
                <w:szCs w:val="20"/>
              </w:rPr>
              <w:t xml:space="preserve">(2) Prinzipien der Bewegungsillusion nutzen und umsetzen (zum Beispiel Zeichentrick, Legetrick, </w:t>
            </w:r>
            <w:proofErr w:type="spellStart"/>
            <w:r w:rsidRPr="00DE384A">
              <w:rPr>
                <w:sz w:val="20"/>
                <w:szCs w:val="20"/>
              </w:rPr>
              <w:t>Stop</w:t>
            </w:r>
            <w:proofErr w:type="spellEnd"/>
            <w:r w:rsidRPr="00DE384A">
              <w:rPr>
                <w:sz w:val="20"/>
                <w:szCs w:val="20"/>
              </w:rPr>
              <w:t>-Motion)</w:t>
            </w:r>
          </w:p>
        </w:tc>
        <w:tc>
          <w:tcPr>
            <w:tcW w:w="3602" w:type="dxa"/>
            <w:shd w:val="clear" w:color="auto" w:fill="95B3D7" w:themeFill="accent1" w:themeFillTint="99"/>
          </w:tcPr>
          <w:p w:rsidR="00DE384A" w:rsidRPr="00DE384A" w:rsidRDefault="00DE384A" w:rsidP="002C1005">
            <w:pPr>
              <w:rPr>
                <w:sz w:val="20"/>
                <w:szCs w:val="20"/>
              </w:rPr>
            </w:pPr>
            <w:r w:rsidRPr="00DE384A">
              <w:rPr>
                <w:sz w:val="20"/>
                <w:szCs w:val="20"/>
              </w:rPr>
              <w:t>(2) das Internet bewusst und reflektiert als Informationsmedium nutzen</w:t>
            </w:r>
          </w:p>
        </w:tc>
        <w:tc>
          <w:tcPr>
            <w:tcW w:w="3602" w:type="dxa"/>
            <w:shd w:val="clear" w:color="auto" w:fill="95B3D7" w:themeFill="accent1" w:themeFillTint="99"/>
          </w:tcPr>
          <w:p w:rsidR="00DE384A" w:rsidRPr="00DE384A" w:rsidRDefault="00DE384A" w:rsidP="002C1005">
            <w:pPr>
              <w:rPr>
                <w:sz w:val="20"/>
                <w:szCs w:val="20"/>
              </w:rPr>
            </w:pPr>
            <w:r w:rsidRPr="00DE384A">
              <w:rPr>
                <w:sz w:val="20"/>
                <w:szCs w:val="20"/>
              </w:rPr>
              <w:t>(2) das Internet bewusst und reflektiert als Informationsmedium nutzen (*)</w:t>
            </w:r>
          </w:p>
        </w:tc>
        <w:tc>
          <w:tcPr>
            <w:tcW w:w="3603" w:type="dxa"/>
            <w:shd w:val="clear" w:color="auto" w:fill="B8CCE4" w:themeFill="accent1" w:themeFillTint="66"/>
          </w:tcPr>
          <w:p w:rsidR="00DE384A" w:rsidRPr="00DE384A" w:rsidRDefault="00DE384A" w:rsidP="002C1005">
            <w:pPr>
              <w:rPr>
                <w:sz w:val="20"/>
                <w:szCs w:val="20"/>
              </w:rPr>
            </w:pPr>
            <w:r w:rsidRPr="00DE384A">
              <w:rPr>
                <w:sz w:val="20"/>
                <w:szCs w:val="20"/>
              </w:rPr>
              <w:t>(2) Medien zur Gestaltung nutzen, Konzepte entwickeln und eigene Produkte realisieren</w:t>
            </w:r>
          </w:p>
        </w:tc>
      </w:tr>
      <w:tr w:rsidR="00DE384A" w:rsidTr="00DE384A">
        <w:tc>
          <w:tcPr>
            <w:tcW w:w="3602" w:type="dxa"/>
            <w:shd w:val="clear" w:color="auto" w:fill="95B3D7" w:themeFill="accent1" w:themeFillTint="99"/>
          </w:tcPr>
          <w:p w:rsidR="00DE384A" w:rsidRPr="00DE384A" w:rsidRDefault="00DE384A" w:rsidP="002C1005">
            <w:pPr>
              <w:rPr>
                <w:sz w:val="20"/>
                <w:szCs w:val="20"/>
              </w:rPr>
            </w:pPr>
            <w:r w:rsidRPr="00DE384A">
              <w:rPr>
                <w:sz w:val="20"/>
                <w:szCs w:val="20"/>
              </w:rPr>
              <w:t>(3) das Internet als Informationsmedium nutzen und mit seinen Chancen und Risiken umgehen</w:t>
            </w:r>
          </w:p>
        </w:tc>
        <w:tc>
          <w:tcPr>
            <w:tcW w:w="3602" w:type="dxa"/>
            <w:shd w:val="clear" w:color="auto" w:fill="DBE5F1" w:themeFill="accent1" w:themeFillTint="33"/>
          </w:tcPr>
          <w:p w:rsidR="00DE384A" w:rsidRPr="00DE384A" w:rsidRDefault="00DE384A" w:rsidP="002C1005">
            <w:pPr>
              <w:rPr>
                <w:sz w:val="20"/>
                <w:szCs w:val="20"/>
              </w:rPr>
            </w:pPr>
          </w:p>
        </w:tc>
        <w:tc>
          <w:tcPr>
            <w:tcW w:w="3602" w:type="dxa"/>
            <w:shd w:val="clear" w:color="auto" w:fill="DBE5F1" w:themeFill="accent1" w:themeFillTint="33"/>
          </w:tcPr>
          <w:p w:rsidR="00DE384A" w:rsidRPr="00DE384A" w:rsidRDefault="00DE384A" w:rsidP="002C1005">
            <w:pPr>
              <w:pStyle w:val="BPVerweisLeitprinzip"/>
              <w:numPr>
                <w:ilvl w:val="0"/>
                <w:numId w:val="0"/>
              </w:numPr>
              <w:ind w:left="851"/>
              <w:rPr>
                <w:sz w:val="20"/>
              </w:rPr>
            </w:pPr>
            <w:bookmarkStart w:id="0" w:name="_GoBack"/>
            <w:bookmarkEnd w:id="0"/>
          </w:p>
        </w:tc>
        <w:tc>
          <w:tcPr>
            <w:tcW w:w="3603" w:type="dxa"/>
            <w:shd w:val="clear" w:color="auto" w:fill="DBE5F1" w:themeFill="accent1" w:themeFillTint="33"/>
          </w:tcPr>
          <w:p w:rsidR="00DE384A" w:rsidRPr="00DE384A" w:rsidRDefault="00DE384A" w:rsidP="002C1005">
            <w:pPr>
              <w:rPr>
                <w:sz w:val="20"/>
                <w:szCs w:val="20"/>
              </w:rPr>
            </w:pPr>
          </w:p>
          <w:p w:rsidR="00DE384A" w:rsidRPr="00DE384A" w:rsidRDefault="00DE384A" w:rsidP="002C1005">
            <w:pPr>
              <w:rPr>
                <w:sz w:val="20"/>
                <w:szCs w:val="20"/>
              </w:rPr>
            </w:pPr>
            <w:r w:rsidRPr="00DE384A">
              <w:rPr>
                <w:sz w:val="20"/>
                <w:szCs w:val="20"/>
              </w:rPr>
              <w:t xml:space="preserve"> </w:t>
            </w:r>
          </w:p>
        </w:tc>
      </w:tr>
      <w:tr w:rsidR="00DE384A" w:rsidTr="00DE384A">
        <w:tc>
          <w:tcPr>
            <w:tcW w:w="3602" w:type="dxa"/>
            <w:shd w:val="clear" w:color="auto" w:fill="DBE5F1" w:themeFill="accent1" w:themeFillTint="33"/>
          </w:tcPr>
          <w:p w:rsidR="00DE384A" w:rsidRPr="00CF55E2" w:rsidRDefault="00DE384A" w:rsidP="00F01442">
            <w:pPr>
              <w:pStyle w:val="BPVerweisFach"/>
              <w:jc w:val="both"/>
              <w:rPr>
                <w:szCs w:val="16"/>
              </w:rPr>
            </w:pPr>
            <w:r w:rsidRPr="00CF55E2">
              <w:rPr>
                <w:szCs w:val="16"/>
              </w:rPr>
              <w:t>Deutsch: 3.1.1.3 Medien</w:t>
            </w:r>
          </w:p>
          <w:p w:rsidR="00DE384A" w:rsidRDefault="00DE384A" w:rsidP="00F01442">
            <w:pPr>
              <w:pStyle w:val="BPVerweisLeitprinzip"/>
            </w:pPr>
            <w:r w:rsidRPr="00CF55E2">
              <w:t>MB</w:t>
            </w:r>
          </w:p>
          <w:p w:rsidR="00DE384A" w:rsidRPr="00CF55E2" w:rsidRDefault="00DE384A" w:rsidP="00F01442">
            <w:pPr>
              <w:pStyle w:val="BPVerweisLeitprinzip"/>
            </w:pPr>
            <w:r>
              <w:t>VB  Medien als Einflussfaktoren</w:t>
            </w:r>
          </w:p>
        </w:tc>
        <w:tc>
          <w:tcPr>
            <w:tcW w:w="3602" w:type="dxa"/>
            <w:shd w:val="clear" w:color="auto" w:fill="DBE5F1" w:themeFill="accent1" w:themeFillTint="33"/>
          </w:tcPr>
          <w:p w:rsidR="00DE384A" w:rsidRPr="004A7CE3" w:rsidRDefault="00DE384A" w:rsidP="00052198">
            <w:pPr>
              <w:pStyle w:val="BPVerweisFach"/>
              <w:jc w:val="both"/>
              <w:rPr>
                <w:szCs w:val="16"/>
              </w:rPr>
            </w:pPr>
            <w:r w:rsidRPr="004A7CE3">
              <w:rPr>
                <w:szCs w:val="16"/>
              </w:rPr>
              <w:t>Deutsch: 3.2.1.2 Sach- und Gebrauchstexte</w:t>
            </w:r>
          </w:p>
          <w:p w:rsidR="00DE384A" w:rsidRPr="004A7CE3" w:rsidRDefault="00DE384A" w:rsidP="00052198">
            <w:pPr>
              <w:pStyle w:val="BPVerweisLeitprinzip"/>
              <w:jc w:val="both"/>
              <w:rPr>
                <w:szCs w:val="16"/>
              </w:rPr>
            </w:pPr>
            <w:r w:rsidRPr="004A7CE3">
              <w:rPr>
                <w:szCs w:val="16"/>
              </w:rPr>
              <w:t xml:space="preserve">BO </w:t>
            </w:r>
            <w:r w:rsidRPr="004A7CE3">
              <w:rPr>
                <w:szCs w:val="16"/>
              </w:rPr>
              <w:tab/>
              <w:t>Fachspezifische und handlungsorientierte Zugänge zur Arbeits- und Berufswelt</w:t>
            </w:r>
          </w:p>
          <w:p w:rsidR="00DE384A" w:rsidRDefault="00DE384A" w:rsidP="00052198">
            <w:pPr>
              <w:pStyle w:val="BPVerweisLeitprinzip"/>
              <w:jc w:val="both"/>
              <w:rPr>
                <w:szCs w:val="16"/>
              </w:rPr>
            </w:pPr>
            <w:r w:rsidRPr="004A7CE3">
              <w:rPr>
                <w:szCs w:val="16"/>
              </w:rPr>
              <w:t xml:space="preserve">MB </w:t>
            </w:r>
          </w:p>
          <w:p w:rsidR="00DE384A" w:rsidRPr="00D45E75" w:rsidRDefault="00DE384A" w:rsidP="00052198">
            <w:pPr>
              <w:pStyle w:val="BPVerweisLeitprinzip"/>
              <w:numPr>
                <w:ilvl w:val="0"/>
                <w:numId w:val="0"/>
              </w:numPr>
              <w:ind w:left="851"/>
              <w:jc w:val="both"/>
              <w:rPr>
                <w:szCs w:val="16"/>
              </w:rPr>
            </w:pPr>
          </w:p>
          <w:p w:rsidR="00DE384A" w:rsidRPr="004A7CE3" w:rsidRDefault="00DE384A" w:rsidP="00052198">
            <w:pPr>
              <w:pStyle w:val="BPVerweisLeitprinzip"/>
              <w:jc w:val="both"/>
              <w:rPr>
                <w:szCs w:val="16"/>
              </w:rPr>
            </w:pPr>
            <w:r>
              <w:rPr>
                <w:szCs w:val="16"/>
              </w:rPr>
              <w:t>PG Wahrnehmung und Empfindung</w:t>
            </w:r>
          </w:p>
          <w:p w:rsidR="00DE384A" w:rsidRDefault="00DE384A" w:rsidP="00052198">
            <w:pPr>
              <w:pStyle w:val="BPVerweisLeitprinzip"/>
              <w:jc w:val="both"/>
            </w:pPr>
            <w:r w:rsidRPr="004A7CE3">
              <w:t xml:space="preserve">VB </w:t>
            </w:r>
            <w:r w:rsidRPr="004A7CE3">
              <w:tab/>
              <w:t>Medien als Einflussfaktoren</w:t>
            </w:r>
          </w:p>
        </w:tc>
        <w:tc>
          <w:tcPr>
            <w:tcW w:w="3602" w:type="dxa"/>
            <w:shd w:val="clear" w:color="auto" w:fill="DBE5F1" w:themeFill="accent1" w:themeFillTint="33"/>
          </w:tcPr>
          <w:p w:rsidR="00DE384A" w:rsidRDefault="00DE384A" w:rsidP="004F716F">
            <w:pPr>
              <w:pStyle w:val="BPVerweisFach"/>
            </w:pPr>
            <w:r>
              <w:lastRenderedPageBreak/>
              <w:t>Deutsch: 3.3.1.2 Sach- und Gebrauchstexte</w:t>
            </w:r>
          </w:p>
          <w:p w:rsidR="00DE384A" w:rsidRDefault="00DE384A" w:rsidP="004F716F">
            <w:pPr>
              <w:pStyle w:val="BPVerweisFach"/>
            </w:pPr>
            <w:r>
              <w:t>Musik: 3.3.1 Musik gestalten und erleben</w:t>
            </w:r>
          </w:p>
          <w:p w:rsidR="00DE384A" w:rsidRDefault="00DE384A" w:rsidP="004F716F">
            <w:pPr>
              <w:pStyle w:val="BPVerweisLeitprinzip"/>
            </w:pPr>
            <w:r>
              <w:t>BO  Fachspezifische und handlungsorientierte Zugänge zur Arbeits- und Berufswelt</w:t>
            </w:r>
          </w:p>
          <w:p w:rsidR="00DE384A" w:rsidRDefault="00DE384A" w:rsidP="004F716F">
            <w:pPr>
              <w:pStyle w:val="BPVerweisLeitprinzip"/>
            </w:pPr>
            <w:r>
              <w:lastRenderedPageBreak/>
              <w:t>MB</w:t>
            </w:r>
          </w:p>
          <w:p w:rsidR="00DE384A" w:rsidRPr="00B66F7F" w:rsidRDefault="00DE384A" w:rsidP="004F716F">
            <w:pPr>
              <w:pStyle w:val="BPVerweisLeitprinzip"/>
            </w:pPr>
            <w:r>
              <w:t>VB</w:t>
            </w:r>
            <w:r>
              <w:tab/>
              <w:t>Medien als Einflussfaktoren</w:t>
            </w:r>
          </w:p>
        </w:tc>
        <w:tc>
          <w:tcPr>
            <w:tcW w:w="3603" w:type="dxa"/>
            <w:shd w:val="clear" w:color="auto" w:fill="DBE5F1" w:themeFill="accent1" w:themeFillTint="33"/>
          </w:tcPr>
          <w:p w:rsidR="00DE384A" w:rsidRPr="000A79D7" w:rsidRDefault="00DE384A" w:rsidP="001101CF">
            <w:pPr>
              <w:pStyle w:val="BPVerweisLeitprinzip"/>
            </w:pPr>
            <w:r w:rsidRPr="000A79D7">
              <w:lastRenderedPageBreak/>
              <w:t xml:space="preserve">BO </w:t>
            </w:r>
            <w:r w:rsidRPr="000A79D7">
              <w:tab/>
              <w:t>Fachspezifische und handlungsorientierte Zugänge zur Arbeits- und Berufswelt</w:t>
            </w:r>
          </w:p>
          <w:p w:rsidR="00DE384A" w:rsidRDefault="00DE384A" w:rsidP="001101CF">
            <w:pPr>
              <w:pStyle w:val="BPVerweisLeitprinzip"/>
            </w:pPr>
            <w:r w:rsidRPr="000A79D7">
              <w:t>MB</w:t>
            </w:r>
          </w:p>
          <w:p w:rsidR="00DE384A" w:rsidRPr="000A79D7" w:rsidRDefault="00DE384A" w:rsidP="001101CF">
            <w:pPr>
              <w:pStyle w:val="BPVerweisLeitprinzip"/>
            </w:pPr>
            <w:r>
              <w:t>VB  Medien als Einflussfaktoren</w:t>
            </w:r>
          </w:p>
        </w:tc>
      </w:tr>
    </w:tbl>
    <w:p w:rsidR="00763440" w:rsidRDefault="00763440"/>
    <w:sectPr w:rsidR="00763440" w:rsidSect="00DE384A">
      <w:pgSz w:w="16820" w:h="11900" w:orient="landscape"/>
      <w:pgMar w:top="1417" w:right="1134" w:bottom="1417" w:left="1417"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60pt;height:60pt" o:bullet="t">
        <v:imagedata r:id="rId1" o:title="L-web"/>
      </v:shape>
    </w:pict>
  </w:numPicBullet>
  <w:numPicBullet w:numPicBulletId="1">
    <w:pict>
      <v:shape id="_x0000_i1236" type="#_x0000_t75" style="width:60pt;height:60pt" o:bullet="t">
        <v:imagedata r:id="rId2" o:title="F-web"/>
      </v:shape>
    </w:pict>
  </w:numPicBullet>
  <w:abstractNum w:abstractNumId="0">
    <w:nsid w:val="1FA77391"/>
    <w:multiLevelType w:val="hybridMultilevel"/>
    <w:tmpl w:val="76448B7E"/>
    <w:lvl w:ilvl="0" w:tplc="C3925200">
      <w:start w:val="1"/>
      <w:numFmt w:val="bullet"/>
      <w:pStyle w:val="BPVerweisFach"/>
      <w:lvlText w:val=""/>
      <w:lvlPicBulletId w:val="1"/>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1">
    <w:nsid w:val="3E7832EE"/>
    <w:multiLevelType w:val="hybridMultilevel"/>
    <w:tmpl w:val="7AA0D382"/>
    <w:lvl w:ilvl="0" w:tplc="C5B2F220">
      <w:start w:val="1"/>
      <w:numFmt w:val="bullet"/>
      <w:pStyle w:val="BPVerweisLeitprinzip"/>
      <w:lvlText w:val=""/>
      <w:lvlPicBulletId w:val="0"/>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4A"/>
    <w:rsid w:val="00702F94"/>
    <w:rsid w:val="00763440"/>
    <w:rsid w:val="00DE38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AD5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E3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DE384A"/>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DE384A"/>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DE384A"/>
    <w:pPr>
      <w:numPr>
        <w:numId w:val="2"/>
      </w:numPr>
      <w:tabs>
        <w:tab w:val="clear" w:pos="360"/>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E3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DE384A"/>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DE384A"/>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DE384A"/>
    <w:pPr>
      <w:numPr>
        <w:numId w:val="2"/>
      </w:numPr>
      <w:tabs>
        <w:tab w:val="clear" w:pos="360"/>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2537</Characters>
  <Application>Microsoft Macintosh Word</Application>
  <DocSecurity>0</DocSecurity>
  <Lines>21</Lines>
  <Paragraphs>5</Paragraphs>
  <ScaleCrop>false</ScaleCrop>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1</cp:revision>
  <dcterms:created xsi:type="dcterms:W3CDTF">2015-06-04T18:12:00Z</dcterms:created>
  <dcterms:modified xsi:type="dcterms:W3CDTF">2015-06-04T18:24:00Z</dcterms:modified>
</cp:coreProperties>
</file>