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3602"/>
        <w:gridCol w:w="3602"/>
        <w:gridCol w:w="3602"/>
        <w:gridCol w:w="3603"/>
      </w:tblGrid>
      <w:tr w:rsidR="00330AA0" w:rsidTr="00330AA0">
        <w:tc>
          <w:tcPr>
            <w:tcW w:w="14409" w:type="dxa"/>
            <w:gridSpan w:val="4"/>
            <w:shd w:val="clear" w:color="auto" w:fill="76923C" w:themeFill="accent3" w:themeFillShade="BF"/>
          </w:tcPr>
          <w:p w:rsidR="00330AA0" w:rsidRDefault="00330AA0">
            <w:pPr>
              <w:rPr>
                <w:b/>
              </w:rPr>
            </w:pPr>
            <w:r>
              <w:rPr>
                <w:b/>
              </w:rPr>
              <w:t>BP 2016 GYMNASIUM, BILDENDE KUNST, ANHÖRUNGSFASSUNG MAI 2015                                                 SYNOPSE AKTION</w:t>
            </w:r>
          </w:p>
          <w:p w:rsidR="00330AA0" w:rsidRPr="00330AA0" w:rsidRDefault="00330AA0">
            <w:pPr>
              <w:rPr>
                <w:b/>
              </w:rPr>
            </w:pPr>
          </w:p>
        </w:tc>
      </w:tr>
      <w:tr w:rsidR="00330AA0" w:rsidTr="00330AA0">
        <w:tc>
          <w:tcPr>
            <w:tcW w:w="3602" w:type="dxa"/>
          </w:tcPr>
          <w:p w:rsidR="00330AA0" w:rsidRDefault="00330AA0">
            <w:r>
              <w:t>Klassen 5/6</w:t>
            </w:r>
          </w:p>
        </w:tc>
        <w:tc>
          <w:tcPr>
            <w:tcW w:w="3602" w:type="dxa"/>
          </w:tcPr>
          <w:p w:rsidR="00330AA0" w:rsidRDefault="00330AA0">
            <w:r>
              <w:t>Klassen 7/8</w:t>
            </w:r>
          </w:p>
        </w:tc>
        <w:tc>
          <w:tcPr>
            <w:tcW w:w="3602" w:type="dxa"/>
          </w:tcPr>
          <w:p w:rsidR="00330AA0" w:rsidRDefault="00330AA0">
            <w:r>
              <w:t>Klassen 9/10</w:t>
            </w:r>
          </w:p>
        </w:tc>
        <w:tc>
          <w:tcPr>
            <w:tcW w:w="3603" w:type="dxa"/>
          </w:tcPr>
          <w:p w:rsidR="00330AA0" w:rsidRDefault="00330AA0">
            <w:r>
              <w:t>Klassen 11/12</w:t>
            </w:r>
          </w:p>
        </w:tc>
      </w:tr>
      <w:tr w:rsidR="00330AA0" w:rsidTr="00330AA0">
        <w:tc>
          <w:tcPr>
            <w:tcW w:w="3602" w:type="dxa"/>
            <w:shd w:val="clear" w:color="auto" w:fill="C2D69B" w:themeFill="accent3" w:themeFillTint="99"/>
          </w:tcPr>
          <w:p w:rsidR="00330AA0" w:rsidRDefault="00330AA0" w:rsidP="002C1005">
            <w:pPr>
              <w:pStyle w:val="BPIKKompetenzBeschreibung"/>
              <w:jc w:val="left"/>
            </w:pPr>
            <w:r>
              <w:t>Die Schülerinnen und Schüler lernen in der Interaktion und im darstellenden Spiel ihren Körper wahrzunehmen und ihre Emotionen auszudrücken. Sie erkennen und nutzen den Einfluss von Zeit und Raum und erleben Improvisation als Gestaltungsmöglichkeit.</w:t>
            </w:r>
            <w:r w:rsidRPr="006B0CD4">
              <w:t xml:space="preserve"> </w:t>
            </w:r>
            <w:r>
              <w:t xml:space="preserve">Aus ihrer Vorstellungskraft entwickeln sie für einen Inhalt, eine Aussage oder eine Botschaft eine Aktionsform (zum Beispiel </w:t>
            </w:r>
            <w:proofErr w:type="gramStart"/>
            <w:r>
              <w:t>Standbild, Szene,</w:t>
            </w:r>
            <w:proofErr w:type="gramEnd"/>
            <w:r>
              <w:t xml:space="preserve"> Figurentheater).</w:t>
            </w:r>
          </w:p>
          <w:p w:rsidR="00330AA0" w:rsidRPr="00B66F7F" w:rsidRDefault="00330AA0" w:rsidP="002C1005">
            <w:pPr>
              <w:pStyle w:val="BPIKKompetenzBeschreibung"/>
              <w:jc w:val="left"/>
            </w:pPr>
            <w:r w:rsidRPr="00060DB9">
              <w:t>Die</w:t>
            </w:r>
            <w:r>
              <w:t xml:space="preserve"> Schülerinnen und Schüler können</w:t>
            </w:r>
          </w:p>
        </w:tc>
        <w:tc>
          <w:tcPr>
            <w:tcW w:w="3602" w:type="dxa"/>
            <w:shd w:val="clear" w:color="auto" w:fill="C2D69B" w:themeFill="accent3" w:themeFillTint="99"/>
          </w:tcPr>
          <w:p w:rsidR="00330AA0" w:rsidRPr="00B66F7F" w:rsidRDefault="00330AA0" w:rsidP="002C1005">
            <w:pPr>
              <w:pStyle w:val="BPIKKompetenzBeschreibung"/>
              <w:jc w:val="left"/>
            </w:pPr>
            <w:r w:rsidRPr="00B66F7F">
              <w:t xml:space="preserve">Die Schülerinnen und Schüler entwickeln für ein Thema eine Aktionsform und reflektieren dabei die Faktoren Zeit und Raum. Sie nutzen Planung und Improvisation als </w:t>
            </w:r>
            <w:proofErr w:type="spellStart"/>
            <w:r w:rsidRPr="00B66F7F">
              <w:t>Gestaltungsmöglichkei</w:t>
            </w:r>
            <w:proofErr w:type="spellEnd"/>
            <w:r>
              <w:t>-</w:t>
            </w:r>
            <w:r w:rsidRPr="00B66F7F">
              <w:t>ten.</w:t>
            </w:r>
          </w:p>
          <w:p w:rsidR="00330AA0" w:rsidRPr="00B66F7F" w:rsidRDefault="00330AA0" w:rsidP="002C1005">
            <w:pPr>
              <w:spacing w:line="360" w:lineRule="auto"/>
              <w:rPr>
                <w:sz w:val="20"/>
                <w:szCs w:val="20"/>
              </w:rPr>
            </w:pPr>
            <w:r w:rsidRPr="00B66F7F">
              <w:rPr>
                <w:sz w:val="20"/>
                <w:szCs w:val="20"/>
              </w:rPr>
              <w:t>Die Schülerinnen und Schüler können</w:t>
            </w:r>
          </w:p>
        </w:tc>
        <w:tc>
          <w:tcPr>
            <w:tcW w:w="3602" w:type="dxa"/>
            <w:shd w:val="clear" w:color="auto" w:fill="C2D69B" w:themeFill="accent3" w:themeFillTint="99"/>
          </w:tcPr>
          <w:p w:rsidR="00330AA0" w:rsidRPr="00203DA3" w:rsidRDefault="00330AA0" w:rsidP="002C1005">
            <w:pPr>
              <w:pStyle w:val="BPIKKompetenzBeschreibung"/>
              <w:jc w:val="left"/>
            </w:pPr>
            <w:r w:rsidRPr="00203DA3">
              <w:t>Die Schülerinnen und Schüler erproben und entwickeln eigene Aktionsformen. Sie setzen sich dabei mit intermedialen Gestaltungsformen auseinander.</w:t>
            </w:r>
          </w:p>
          <w:p w:rsidR="00330AA0" w:rsidRPr="008C44E4" w:rsidRDefault="00330AA0" w:rsidP="002C1005">
            <w:pPr>
              <w:pStyle w:val="BPIKKompetenzBeschreibung"/>
              <w:jc w:val="left"/>
            </w:pPr>
            <w:r w:rsidRPr="00060DB9">
              <w:t>Die Schülerinnen und Schüler können</w:t>
            </w:r>
          </w:p>
          <w:p w:rsidR="00330AA0" w:rsidRPr="00B66F7F" w:rsidRDefault="00330AA0" w:rsidP="002C1005">
            <w:pPr>
              <w:rPr>
                <w:sz w:val="20"/>
                <w:szCs w:val="20"/>
              </w:rPr>
            </w:pPr>
          </w:p>
        </w:tc>
        <w:tc>
          <w:tcPr>
            <w:tcW w:w="3603" w:type="dxa"/>
            <w:shd w:val="clear" w:color="auto" w:fill="C2D69B" w:themeFill="accent3" w:themeFillTint="99"/>
          </w:tcPr>
          <w:p w:rsidR="00330AA0" w:rsidRPr="00E5350F" w:rsidRDefault="00330AA0" w:rsidP="002C1005">
            <w:pPr>
              <w:pStyle w:val="BPIKKompetenzBeschreibung"/>
              <w:jc w:val="left"/>
            </w:pPr>
            <w:r w:rsidRPr="00E5350F">
              <w:t>Die Schülerinnen und Schüler erproben und entwickeln handlungsorientierte und interdisziplinäre Darstellungsformen. Sie erkennen und nutzen spezifische Aspekte von Aktion wie die Abhängigkeit von Zeit und Raum und verstehen Aktion als Kunstform zwischen Improvisation und Konzeption.</w:t>
            </w:r>
          </w:p>
          <w:p w:rsidR="00330AA0" w:rsidRPr="008C44E4" w:rsidRDefault="00330AA0" w:rsidP="002C1005">
            <w:pPr>
              <w:pStyle w:val="BPIKKompetenzBeschreibung"/>
              <w:jc w:val="left"/>
            </w:pPr>
            <w:r w:rsidRPr="00060DB9">
              <w:t>Die Schülerinnen und Schüler können</w:t>
            </w:r>
          </w:p>
          <w:p w:rsidR="00330AA0" w:rsidRPr="00B66F7F" w:rsidRDefault="00330AA0" w:rsidP="002C1005">
            <w:pPr>
              <w:pStyle w:val="BPIKKompetenzBeschreibung"/>
              <w:jc w:val="left"/>
            </w:pPr>
          </w:p>
        </w:tc>
      </w:tr>
      <w:tr w:rsidR="00330AA0" w:rsidRPr="00330AA0" w:rsidTr="00330AA0">
        <w:tc>
          <w:tcPr>
            <w:tcW w:w="3602" w:type="dxa"/>
            <w:shd w:val="clear" w:color="auto" w:fill="D6E3BC" w:themeFill="accent3" w:themeFillTint="66"/>
          </w:tcPr>
          <w:p w:rsidR="00330AA0" w:rsidRPr="00330AA0" w:rsidRDefault="00330AA0" w:rsidP="002C1005">
            <w:pPr>
              <w:rPr>
                <w:sz w:val="20"/>
                <w:szCs w:val="20"/>
              </w:rPr>
            </w:pPr>
            <w:r w:rsidRPr="00330AA0">
              <w:rPr>
                <w:sz w:val="20"/>
                <w:szCs w:val="20"/>
              </w:rPr>
              <w:t>(1) Form, Bewegung, Klang, Sprache und Licht als Ausdrucks- und Gestaltungsmittel erleben und in Aktion, Szene oder Spiel umsetzen</w:t>
            </w:r>
          </w:p>
        </w:tc>
        <w:tc>
          <w:tcPr>
            <w:tcW w:w="3602" w:type="dxa"/>
            <w:shd w:val="clear" w:color="auto" w:fill="D6E3BC" w:themeFill="accent3" w:themeFillTint="66"/>
          </w:tcPr>
          <w:p w:rsidR="00330AA0" w:rsidRPr="00330AA0" w:rsidRDefault="00330AA0" w:rsidP="002C1005">
            <w:pPr>
              <w:rPr>
                <w:sz w:val="20"/>
                <w:szCs w:val="20"/>
              </w:rPr>
            </w:pPr>
            <w:r w:rsidRPr="00330AA0">
              <w:rPr>
                <w:sz w:val="20"/>
                <w:szCs w:val="20"/>
              </w:rPr>
              <w:t>(1) einen Inhalt in eine Aktion, Szene oder ein Spiel umsetzen und dabei Bewegung, Sprache und Klang absichtsvoll einsetzen sowie dokumentieren</w:t>
            </w:r>
          </w:p>
        </w:tc>
        <w:tc>
          <w:tcPr>
            <w:tcW w:w="3602" w:type="dxa"/>
            <w:shd w:val="clear" w:color="auto" w:fill="D6E3BC" w:themeFill="accent3" w:themeFillTint="66"/>
          </w:tcPr>
          <w:p w:rsidR="00330AA0" w:rsidRPr="00330AA0" w:rsidRDefault="00330AA0" w:rsidP="002C1005">
            <w:pPr>
              <w:rPr>
                <w:sz w:val="20"/>
                <w:szCs w:val="20"/>
              </w:rPr>
            </w:pPr>
            <w:r w:rsidRPr="00330AA0">
              <w:rPr>
                <w:sz w:val="20"/>
                <w:szCs w:val="20"/>
              </w:rPr>
              <w:t>(1) intermediale Aktionsformen  reflektiert entwickeln (*)</w:t>
            </w:r>
          </w:p>
        </w:tc>
        <w:tc>
          <w:tcPr>
            <w:tcW w:w="3603" w:type="dxa"/>
            <w:shd w:val="clear" w:color="auto" w:fill="D6E3BC" w:themeFill="accent3" w:themeFillTint="66"/>
          </w:tcPr>
          <w:p w:rsidR="00330AA0" w:rsidRPr="00330AA0" w:rsidRDefault="00330AA0" w:rsidP="002C1005">
            <w:pPr>
              <w:rPr>
                <w:sz w:val="20"/>
                <w:szCs w:val="20"/>
              </w:rPr>
            </w:pPr>
            <w:r w:rsidRPr="00330AA0">
              <w:rPr>
                <w:sz w:val="20"/>
                <w:szCs w:val="20"/>
              </w:rPr>
              <w:t>(1) eigene Aktionsformen interdisziplinär entwickeln und gestalten</w:t>
            </w:r>
          </w:p>
        </w:tc>
      </w:tr>
      <w:tr w:rsidR="00330AA0" w:rsidRPr="00330AA0" w:rsidTr="00330AA0">
        <w:tc>
          <w:tcPr>
            <w:tcW w:w="3602" w:type="dxa"/>
            <w:shd w:val="clear" w:color="auto" w:fill="EAF1DD" w:themeFill="accent3" w:themeFillTint="33"/>
          </w:tcPr>
          <w:p w:rsidR="00330AA0" w:rsidRPr="00330AA0" w:rsidRDefault="00330AA0" w:rsidP="002C1005">
            <w:pPr>
              <w:rPr>
                <w:sz w:val="20"/>
                <w:szCs w:val="20"/>
              </w:rPr>
            </w:pPr>
            <w:r w:rsidRPr="00330AA0">
              <w:rPr>
                <w:sz w:val="20"/>
                <w:szCs w:val="20"/>
              </w:rPr>
              <w:t>(2) Spiele und Aktionen entwickeln, Spielanlässe finden, nutzen und beim Spiel improvisieren</w:t>
            </w:r>
          </w:p>
        </w:tc>
        <w:tc>
          <w:tcPr>
            <w:tcW w:w="3602" w:type="dxa"/>
            <w:shd w:val="clear" w:color="auto" w:fill="EAF1DD" w:themeFill="accent3" w:themeFillTint="33"/>
          </w:tcPr>
          <w:p w:rsidR="00330AA0" w:rsidRPr="00330AA0" w:rsidRDefault="00330AA0" w:rsidP="002C1005">
            <w:pPr>
              <w:rPr>
                <w:sz w:val="20"/>
                <w:szCs w:val="20"/>
              </w:rPr>
            </w:pPr>
            <w:r w:rsidRPr="00330AA0">
              <w:rPr>
                <w:sz w:val="20"/>
                <w:szCs w:val="20"/>
              </w:rPr>
              <w:t>(2) Bedingungen für Aktionsformen planen (zum Beispiel Materialien, Requisiten, Bühnenbild, Licht, Ton)</w:t>
            </w:r>
          </w:p>
        </w:tc>
        <w:tc>
          <w:tcPr>
            <w:tcW w:w="3602" w:type="dxa"/>
            <w:shd w:val="clear" w:color="auto" w:fill="76923C" w:themeFill="accent3" w:themeFillShade="BF"/>
          </w:tcPr>
          <w:p w:rsidR="00330AA0" w:rsidRPr="00330AA0" w:rsidRDefault="00330AA0" w:rsidP="002C1005">
            <w:pPr>
              <w:rPr>
                <w:sz w:val="20"/>
                <w:szCs w:val="20"/>
              </w:rPr>
            </w:pPr>
            <w:r w:rsidRPr="00330AA0">
              <w:rPr>
                <w:sz w:val="20"/>
                <w:szCs w:val="20"/>
              </w:rPr>
              <w:t xml:space="preserve">(2) sich performative und interaktive Kunstformen erschließen (zum Beispiel Aktion, Happening, Performance, Urban-Art, Netzkunst) </w:t>
            </w:r>
          </w:p>
        </w:tc>
        <w:tc>
          <w:tcPr>
            <w:tcW w:w="3603" w:type="dxa"/>
            <w:shd w:val="clear" w:color="auto" w:fill="76923C" w:themeFill="accent3" w:themeFillShade="BF"/>
          </w:tcPr>
          <w:p w:rsidR="00330AA0" w:rsidRPr="00330AA0" w:rsidRDefault="00330AA0" w:rsidP="002C1005">
            <w:pPr>
              <w:rPr>
                <w:sz w:val="20"/>
                <w:szCs w:val="20"/>
              </w:rPr>
            </w:pPr>
            <w:r w:rsidRPr="00330AA0">
              <w:rPr>
                <w:sz w:val="20"/>
                <w:szCs w:val="20"/>
              </w:rPr>
              <w:t>(2) performative und interaktive Kunstformen rezipieren</w:t>
            </w:r>
          </w:p>
        </w:tc>
      </w:tr>
      <w:tr w:rsidR="00330AA0" w:rsidRPr="00330AA0" w:rsidTr="00330AA0">
        <w:tc>
          <w:tcPr>
            <w:tcW w:w="3602" w:type="dxa"/>
            <w:shd w:val="clear" w:color="auto" w:fill="C2D69B" w:themeFill="accent3" w:themeFillTint="99"/>
          </w:tcPr>
          <w:p w:rsidR="00330AA0" w:rsidRPr="00330AA0" w:rsidRDefault="00330AA0" w:rsidP="002C1005">
            <w:pPr>
              <w:rPr>
                <w:sz w:val="20"/>
                <w:szCs w:val="20"/>
              </w:rPr>
            </w:pPr>
            <w:r w:rsidRPr="00330AA0">
              <w:rPr>
                <w:sz w:val="20"/>
                <w:szCs w:val="20"/>
              </w:rPr>
              <w:t>(3) den Rahmen für Handlungsabläufe und Aufführungen gestalten</w:t>
            </w:r>
          </w:p>
        </w:tc>
        <w:tc>
          <w:tcPr>
            <w:tcW w:w="3602" w:type="dxa"/>
            <w:shd w:val="clear" w:color="auto" w:fill="C2D69B" w:themeFill="accent3" w:themeFillTint="99"/>
          </w:tcPr>
          <w:p w:rsidR="00330AA0" w:rsidRPr="00330AA0" w:rsidRDefault="00330AA0" w:rsidP="002C1005">
            <w:pPr>
              <w:rPr>
                <w:sz w:val="20"/>
                <w:szCs w:val="20"/>
              </w:rPr>
            </w:pPr>
          </w:p>
        </w:tc>
        <w:tc>
          <w:tcPr>
            <w:tcW w:w="3602" w:type="dxa"/>
            <w:shd w:val="clear" w:color="auto" w:fill="C2D69B" w:themeFill="accent3" w:themeFillTint="99"/>
          </w:tcPr>
          <w:p w:rsidR="00330AA0" w:rsidRPr="00330AA0" w:rsidRDefault="00330AA0" w:rsidP="002C1005">
            <w:pPr>
              <w:pStyle w:val="BPVerweisLeitprinzip"/>
              <w:numPr>
                <w:ilvl w:val="0"/>
                <w:numId w:val="0"/>
              </w:numPr>
              <w:ind w:left="851"/>
              <w:rPr>
                <w:sz w:val="20"/>
              </w:rPr>
            </w:pPr>
          </w:p>
        </w:tc>
        <w:tc>
          <w:tcPr>
            <w:tcW w:w="3603" w:type="dxa"/>
            <w:shd w:val="clear" w:color="auto" w:fill="C2D69B" w:themeFill="accent3" w:themeFillTint="99"/>
          </w:tcPr>
          <w:p w:rsidR="00330AA0" w:rsidRPr="00330AA0" w:rsidRDefault="00330AA0" w:rsidP="002C1005">
            <w:pPr>
              <w:rPr>
                <w:sz w:val="20"/>
                <w:szCs w:val="20"/>
              </w:rPr>
            </w:pPr>
          </w:p>
        </w:tc>
      </w:tr>
      <w:tr w:rsidR="00330AA0" w:rsidTr="00330AA0">
        <w:tc>
          <w:tcPr>
            <w:tcW w:w="3602" w:type="dxa"/>
            <w:shd w:val="clear" w:color="auto" w:fill="EAF1DD" w:themeFill="accent3" w:themeFillTint="33"/>
          </w:tcPr>
          <w:p w:rsidR="00330AA0" w:rsidRDefault="00330AA0" w:rsidP="00CA46A9">
            <w:pPr>
              <w:pStyle w:val="BPVerweisFach"/>
              <w:jc w:val="both"/>
              <w:rPr>
                <w:szCs w:val="16"/>
              </w:rPr>
            </w:pPr>
            <w:r w:rsidRPr="00CF55E2">
              <w:rPr>
                <w:szCs w:val="16"/>
              </w:rPr>
              <w:t>Deutsch: 3.1.1.1 Literarische Texte</w:t>
            </w:r>
          </w:p>
          <w:p w:rsidR="00330AA0" w:rsidRPr="00CF55E2" w:rsidRDefault="00330AA0" w:rsidP="00CA46A9">
            <w:pPr>
              <w:pStyle w:val="BPVerweisFach"/>
              <w:jc w:val="both"/>
              <w:rPr>
                <w:szCs w:val="16"/>
              </w:rPr>
            </w:pPr>
            <w:r>
              <w:rPr>
                <w:szCs w:val="16"/>
              </w:rPr>
              <w:lastRenderedPageBreak/>
              <w:t>Musik: 3.1.1 Musik gestalten und erleben</w:t>
            </w:r>
          </w:p>
          <w:p w:rsidR="00330AA0" w:rsidRPr="00CF55E2" w:rsidRDefault="00330AA0" w:rsidP="00CA46A9">
            <w:pPr>
              <w:pStyle w:val="BPVerweisFach"/>
              <w:jc w:val="both"/>
              <w:rPr>
                <w:szCs w:val="16"/>
              </w:rPr>
            </w:pPr>
            <w:r w:rsidRPr="00CF55E2">
              <w:rPr>
                <w:szCs w:val="16"/>
              </w:rPr>
              <w:t>Sport: 3.1.1.5 Tanzen, Gestalten, Darstellen</w:t>
            </w:r>
          </w:p>
          <w:p w:rsidR="00330AA0" w:rsidRPr="00CF55E2" w:rsidRDefault="00330AA0" w:rsidP="00CA46A9">
            <w:pPr>
              <w:pStyle w:val="BPVerweisLeitprinzip"/>
              <w:numPr>
                <w:ilvl w:val="0"/>
                <w:numId w:val="0"/>
              </w:numPr>
              <w:ind w:left="851"/>
              <w:jc w:val="both"/>
              <w:rPr>
                <w:szCs w:val="16"/>
              </w:rPr>
            </w:pPr>
          </w:p>
        </w:tc>
        <w:tc>
          <w:tcPr>
            <w:tcW w:w="3602" w:type="dxa"/>
            <w:shd w:val="clear" w:color="auto" w:fill="EAF1DD" w:themeFill="accent3" w:themeFillTint="33"/>
          </w:tcPr>
          <w:p w:rsidR="00330AA0" w:rsidRPr="004A7CE3" w:rsidRDefault="00330AA0" w:rsidP="000B2FD7">
            <w:pPr>
              <w:pStyle w:val="BPVerweisFach"/>
              <w:jc w:val="both"/>
              <w:rPr>
                <w:szCs w:val="16"/>
              </w:rPr>
            </w:pPr>
            <w:r w:rsidRPr="004A7CE3">
              <w:rPr>
                <w:szCs w:val="16"/>
              </w:rPr>
              <w:lastRenderedPageBreak/>
              <w:t>Deutsch: 3.2.1.1 Literarische Texte</w:t>
            </w:r>
          </w:p>
          <w:p w:rsidR="00330AA0" w:rsidRPr="004A7CE3" w:rsidRDefault="00330AA0" w:rsidP="000B2FD7">
            <w:pPr>
              <w:pStyle w:val="BPVerweisFach"/>
              <w:jc w:val="both"/>
              <w:rPr>
                <w:szCs w:val="16"/>
              </w:rPr>
            </w:pPr>
            <w:r w:rsidRPr="004A7CE3">
              <w:rPr>
                <w:szCs w:val="16"/>
              </w:rPr>
              <w:lastRenderedPageBreak/>
              <w:t>Musik: 3.2.1 Musik gestalten und erleben</w:t>
            </w:r>
          </w:p>
          <w:p w:rsidR="00330AA0" w:rsidRPr="004A7CE3" w:rsidRDefault="00330AA0" w:rsidP="000B2FD7">
            <w:pPr>
              <w:pStyle w:val="BPVerweisFach"/>
              <w:jc w:val="both"/>
              <w:rPr>
                <w:szCs w:val="16"/>
              </w:rPr>
            </w:pPr>
            <w:r w:rsidRPr="004A7CE3">
              <w:rPr>
                <w:szCs w:val="16"/>
              </w:rPr>
              <w:t>Sport: 3.2.2.2 Tanzen, Gestalten, Darstellen</w:t>
            </w:r>
          </w:p>
          <w:p w:rsidR="00330AA0" w:rsidRDefault="00330AA0" w:rsidP="000B2FD7">
            <w:pPr>
              <w:pStyle w:val="BPVerweisLeitprinzip"/>
              <w:jc w:val="both"/>
            </w:pPr>
            <w:r w:rsidRPr="004A7CE3">
              <w:t>MB</w:t>
            </w:r>
            <w:r w:rsidRPr="004A7CE3">
              <w:tab/>
              <w:t>Produktion und Präsentation</w:t>
            </w:r>
          </w:p>
          <w:p w:rsidR="00330AA0" w:rsidRPr="004A7CE3" w:rsidRDefault="00330AA0" w:rsidP="000B2FD7">
            <w:pPr>
              <w:pStyle w:val="BPVerweisLeitprinzip"/>
              <w:jc w:val="both"/>
              <w:rPr>
                <w:szCs w:val="16"/>
              </w:rPr>
            </w:pPr>
            <w:r w:rsidRPr="004A7CE3">
              <w:rPr>
                <w:szCs w:val="16"/>
              </w:rPr>
              <w:t>PG</w:t>
            </w:r>
            <w:r w:rsidRPr="004A7CE3">
              <w:rPr>
                <w:szCs w:val="16"/>
              </w:rPr>
              <w:tab/>
              <w:t>Wahrnehmung und Empfindung</w:t>
            </w:r>
          </w:p>
          <w:p w:rsidR="00330AA0" w:rsidRDefault="00330AA0" w:rsidP="000B2FD7">
            <w:pPr>
              <w:pStyle w:val="BPVerweisLeitprinzip"/>
              <w:numPr>
                <w:ilvl w:val="0"/>
                <w:numId w:val="0"/>
              </w:numPr>
              <w:ind w:left="851"/>
              <w:jc w:val="both"/>
            </w:pPr>
          </w:p>
        </w:tc>
        <w:tc>
          <w:tcPr>
            <w:tcW w:w="3602" w:type="dxa"/>
            <w:shd w:val="clear" w:color="auto" w:fill="EAF1DD" w:themeFill="accent3" w:themeFillTint="33"/>
          </w:tcPr>
          <w:p w:rsidR="00330AA0" w:rsidRDefault="00330AA0" w:rsidP="003D193E">
            <w:pPr>
              <w:pStyle w:val="BPVerweisFach"/>
            </w:pPr>
            <w:r>
              <w:lastRenderedPageBreak/>
              <w:t>Deutsch: 3.3.1.1 Literarische Texte</w:t>
            </w:r>
          </w:p>
          <w:p w:rsidR="00330AA0" w:rsidRDefault="00330AA0" w:rsidP="003D193E">
            <w:pPr>
              <w:pStyle w:val="BPVerweisFach"/>
            </w:pPr>
            <w:r>
              <w:lastRenderedPageBreak/>
              <w:t>Musik: 3.3.1 Musik gestalten und erleben</w:t>
            </w:r>
          </w:p>
          <w:p w:rsidR="00330AA0" w:rsidRDefault="00330AA0" w:rsidP="003D193E">
            <w:pPr>
              <w:pStyle w:val="BPVerweisLeitprinzip"/>
            </w:pPr>
            <w:r>
              <w:t>MB  Produktion und Präsentation</w:t>
            </w:r>
          </w:p>
          <w:p w:rsidR="00330AA0" w:rsidRPr="00B66F7F" w:rsidRDefault="00330AA0" w:rsidP="003D193E"/>
        </w:tc>
        <w:tc>
          <w:tcPr>
            <w:tcW w:w="3603" w:type="dxa"/>
            <w:shd w:val="clear" w:color="auto" w:fill="EAF1DD" w:themeFill="accent3" w:themeFillTint="33"/>
          </w:tcPr>
          <w:p w:rsidR="00330AA0" w:rsidRPr="000A79D7" w:rsidRDefault="00330AA0" w:rsidP="006C385A">
            <w:pPr>
              <w:pStyle w:val="BPVerweisFach"/>
            </w:pPr>
            <w:r w:rsidRPr="000A79D7">
              <w:lastRenderedPageBreak/>
              <w:t xml:space="preserve">Literatur und Theater </w:t>
            </w:r>
          </w:p>
          <w:p w:rsidR="00330AA0" w:rsidRPr="000A79D7" w:rsidRDefault="00330AA0" w:rsidP="006C385A">
            <w:pPr>
              <w:pStyle w:val="BPVerweisLeitprinzip"/>
            </w:pPr>
            <w:r w:rsidRPr="000A79D7">
              <w:lastRenderedPageBreak/>
              <w:t>BO</w:t>
            </w:r>
            <w:r w:rsidRPr="000A79D7">
              <w:tab/>
              <w:t>Fachspezifische und handlungsorientierte Zugänge zur Arbeits- und Berufswelt</w:t>
            </w:r>
          </w:p>
          <w:p w:rsidR="00330AA0" w:rsidRPr="000A79D7" w:rsidRDefault="00330AA0" w:rsidP="006C385A">
            <w:pPr>
              <w:pStyle w:val="BPVerweisLeitprinzip"/>
            </w:pPr>
            <w:r w:rsidRPr="000A79D7">
              <w:t xml:space="preserve">MB </w:t>
            </w:r>
            <w:r w:rsidRPr="000A79D7">
              <w:tab/>
              <w:t>Produktion und Präsentation</w:t>
            </w:r>
          </w:p>
        </w:tc>
      </w:tr>
    </w:tbl>
    <w:p w:rsidR="00763440" w:rsidRDefault="00763440">
      <w:bookmarkStart w:id="0" w:name="_GoBack"/>
      <w:bookmarkEnd w:id="0"/>
    </w:p>
    <w:sectPr w:rsidR="00763440" w:rsidSect="00330AA0">
      <w:pgSz w:w="16820" w:h="11900" w:orient="landscape"/>
      <w:pgMar w:top="1417" w:right="1134"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60pt;height:60pt" o:bullet="t">
        <v:imagedata r:id="rId1" o:title="L-web"/>
      </v:shape>
    </w:pict>
  </w:numPicBullet>
  <w:numPicBullet w:numPicBulletId="1">
    <w:pict>
      <v:shape id="_x0000_i1258" type="#_x0000_t75" style="width:60pt;height:60pt" o:bullet="t">
        <v:imagedata r:id="rId2" o:title="F-web"/>
      </v:shape>
    </w:pict>
  </w:numPicBullet>
  <w:abstractNum w:abstractNumId="0">
    <w:nsid w:val="1FA77391"/>
    <w:multiLevelType w:val="hybridMultilevel"/>
    <w:tmpl w:val="76448B7E"/>
    <w:lvl w:ilvl="0" w:tplc="C3925200">
      <w:start w:val="1"/>
      <w:numFmt w:val="bullet"/>
      <w:pStyle w:val="BPVerweisFach"/>
      <w:lvlText w:val=""/>
      <w:lvlPicBulletId w:val="1"/>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0"/>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A0"/>
    <w:rsid w:val="00330AA0"/>
    <w:rsid w:val="00702F94"/>
    <w:rsid w:val="007634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D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0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330AA0"/>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330AA0"/>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330AA0"/>
    <w:pPr>
      <w:numPr>
        <w:numId w:val="2"/>
      </w:numPr>
      <w:tabs>
        <w:tab w:val="clear" w:pos="360"/>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0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330AA0"/>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330AA0"/>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330AA0"/>
    <w:pPr>
      <w:numPr>
        <w:numId w:val="2"/>
      </w:numPr>
      <w:tabs>
        <w:tab w:val="clear" w:pos="360"/>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2385</Characters>
  <Application>Microsoft Macintosh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1</cp:revision>
  <dcterms:created xsi:type="dcterms:W3CDTF">2015-06-04T18:24:00Z</dcterms:created>
  <dcterms:modified xsi:type="dcterms:W3CDTF">2015-06-04T18:32:00Z</dcterms:modified>
</cp:coreProperties>
</file>