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Pr="005F2F72" w:rsidRDefault="00C12271" w:rsidP="00F827AD">
            <w:pPr>
              <w:rPr>
                <w:sz w:val="16"/>
                <w:szCs w:val="16"/>
              </w:rPr>
            </w:pPr>
            <w:r w:rsidRPr="005F2F72">
              <w:rPr>
                <w:sz w:val="16"/>
                <w:szCs w:val="16"/>
              </w:rPr>
              <w:t xml:space="preserve">      A</w:t>
            </w:r>
            <w:r w:rsidR="005F2F72">
              <w:rPr>
                <w:sz w:val="16"/>
                <w:szCs w:val="16"/>
              </w:rPr>
              <w:t>lbrecht</w:t>
            </w:r>
            <w:r w:rsidR="00F9315B" w:rsidRPr="005F2F72">
              <w:rPr>
                <w:sz w:val="16"/>
                <w:szCs w:val="16"/>
              </w:rPr>
              <w:t xml:space="preserve"> </w:t>
            </w:r>
            <w:r w:rsidRPr="005F2F72">
              <w:rPr>
                <w:sz w:val="16"/>
                <w:szCs w:val="16"/>
              </w:rPr>
              <w:t>Werwigk, O</w:t>
            </w:r>
            <w:r w:rsidR="005F2F72">
              <w:rPr>
                <w:sz w:val="16"/>
                <w:szCs w:val="16"/>
              </w:rPr>
              <w:t>tto-</w:t>
            </w:r>
            <w:r w:rsidRPr="005F2F72">
              <w:rPr>
                <w:sz w:val="16"/>
                <w:szCs w:val="16"/>
              </w:rPr>
              <w:t>H</w:t>
            </w:r>
            <w:r w:rsidR="005F2F72">
              <w:rPr>
                <w:sz w:val="16"/>
                <w:szCs w:val="16"/>
              </w:rPr>
              <w:t>ahn-</w:t>
            </w:r>
            <w:r w:rsidRPr="005F2F72">
              <w:rPr>
                <w:sz w:val="16"/>
                <w:szCs w:val="16"/>
              </w:rPr>
              <w:t>G</w:t>
            </w:r>
            <w:r w:rsidR="005F2F72">
              <w:rPr>
                <w:sz w:val="16"/>
                <w:szCs w:val="16"/>
              </w:rPr>
              <w:t xml:space="preserve">ymnasium </w:t>
            </w:r>
            <w:r w:rsidRPr="005F2F72">
              <w:rPr>
                <w:sz w:val="16"/>
                <w:szCs w:val="16"/>
              </w:rPr>
              <w:t>Tuttlingen</w:t>
            </w:r>
          </w:p>
          <w:p w:rsidR="00F827AD" w:rsidRPr="009A065A" w:rsidRDefault="00F827AD" w:rsidP="00F827AD">
            <w:pPr>
              <w:rPr>
                <w:sz w:val="16"/>
                <w:szCs w:val="16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Pr="00EA2A81" w:rsidRDefault="00F56D96" w:rsidP="007A74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7A748D" w:rsidRPr="00EA2A81">
              <w:rPr>
                <w:b/>
                <w:sz w:val="20"/>
                <w:szCs w:val="20"/>
              </w:rPr>
              <w:t>8</w:t>
            </w: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7A748D" w:rsidP="00F56D9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J.H.W.Tischbein</w:t>
            </w:r>
            <w:proofErr w:type="spellEnd"/>
            <w:r>
              <w:rPr>
                <w:b/>
                <w:sz w:val="20"/>
                <w:szCs w:val="20"/>
              </w:rPr>
              <w:t>, Goethe in der Campagna,</w:t>
            </w:r>
            <w:r w:rsidR="00BB3790" w:rsidRPr="00F56D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786/87</w:t>
            </w:r>
            <w:r w:rsidR="00BB3790" w:rsidRPr="00F56D96">
              <w:rPr>
                <w:sz w:val="20"/>
                <w:szCs w:val="20"/>
              </w:rPr>
              <w:t xml:space="preserve"> (</w:t>
            </w:r>
            <w:proofErr w:type="spellStart"/>
            <w:r w:rsidR="00F56D96" w:rsidRPr="00F56D96">
              <w:rPr>
                <w:sz w:val="20"/>
                <w:szCs w:val="20"/>
              </w:rPr>
              <w:t>MdK</w:t>
            </w:r>
            <w:proofErr w:type="spellEnd"/>
            <w:r w:rsidR="00F56D96" w:rsidRPr="00F56D9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5</w:t>
            </w:r>
            <w:r w:rsidR="00BB3790" w:rsidRPr="00F56D9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Frankfurt Städel-Museum</w:t>
            </w:r>
          </w:p>
          <w:p w:rsidR="007A748D" w:rsidRDefault="007A748D" w:rsidP="00F56D9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Quentin </w:t>
            </w:r>
            <w:proofErr w:type="spellStart"/>
            <w:r>
              <w:rPr>
                <w:b/>
                <w:sz w:val="20"/>
                <w:szCs w:val="20"/>
              </w:rPr>
              <w:t>Massys</w:t>
            </w:r>
            <w:proofErr w:type="spellEnd"/>
            <w:r>
              <w:rPr>
                <w:b/>
                <w:sz w:val="20"/>
                <w:szCs w:val="20"/>
              </w:rPr>
              <w:t xml:space="preserve">, Der Geldwechsler und seine Frau, </w:t>
            </w:r>
            <w:r w:rsidR="001A5D38">
              <w:rPr>
                <w:b/>
                <w:sz w:val="20"/>
                <w:szCs w:val="20"/>
              </w:rPr>
              <w:t xml:space="preserve">1514 </w:t>
            </w:r>
            <w:r w:rsidR="001A5D38" w:rsidRPr="001A5D38">
              <w:rPr>
                <w:sz w:val="20"/>
                <w:szCs w:val="20"/>
              </w:rPr>
              <w:t>(</w:t>
            </w:r>
            <w:proofErr w:type="spellStart"/>
            <w:r w:rsidR="001A5D38" w:rsidRPr="001A5D38">
              <w:rPr>
                <w:sz w:val="20"/>
                <w:szCs w:val="20"/>
              </w:rPr>
              <w:t>MdK</w:t>
            </w:r>
            <w:proofErr w:type="spellEnd"/>
            <w:r w:rsidR="001A5D38" w:rsidRPr="001A5D38">
              <w:rPr>
                <w:sz w:val="20"/>
                <w:szCs w:val="20"/>
              </w:rPr>
              <w:t xml:space="preserve"> </w:t>
            </w:r>
            <w:r w:rsidR="001A5D38">
              <w:rPr>
                <w:sz w:val="20"/>
                <w:szCs w:val="20"/>
              </w:rPr>
              <w:t>40), Paris Louvre</w:t>
            </w:r>
          </w:p>
          <w:p w:rsidR="001A5D38" w:rsidRPr="001A5D38" w:rsidRDefault="001A5D38" w:rsidP="00F56D9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J.A. Koch, …Landschaft mit dem Regenbogen, 1805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MdK</w:t>
            </w:r>
            <w:proofErr w:type="spellEnd"/>
            <w:r>
              <w:rPr>
                <w:sz w:val="20"/>
                <w:szCs w:val="20"/>
              </w:rPr>
              <w:t xml:space="preserve"> 22), Karlsruhe Kunsthalle </w:t>
            </w:r>
          </w:p>
          <w:p w:rsidR="00A6689E" w:rsidRPr="00F827AD" w:rsidRDefault="00F56D96" w:rsidP="00F56D96">
            <w:pPr>
              <w:tabs>
                <w:tab w:val="left" w:pos="15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Pr="007B128F" w:rsidRDefault="00F56D96" w:rsidP="007B128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59B2">
              <w:rPr>
                <w:b/>
                <w:sz w:val="20"/>
                <w:szCs w:val="20"/>
              </w:rPr>
              <w:t>F</w:t>
            </w:r>
            <w:r w:rsidR="00D07385">
              <w:rPr>
                <w:b/>
                <w:sz w:val="20"/>
                <w:szCs w:val="20"/>
              </w:rPr>
              <w:t>igur</w:t>
            </w:r>
            <w:r w:rsidR="001A5D38">
              <w:rPr>
                <w:b/>
                <w:sz w:val="20"/>
                <w:szCs w:val="20"/>
              </w:rPr>
              <w:t xml:space="preserve"> und Raum,</w:t>
            </w:r>
            <w:r w:rsidRPr="004C59B2">
              <w:rPr>
                <w:b/>
                <w:sz w:val="20"/>
                <w:szCs w:val="20"/>
              </w:rPr>
              <w:t xml:space="preserve"> Bildaufbau</w:t>
            </w:r>
            <w:r w:rsidR="007B128F">
              <w:rPr>
                <w:sz w:val="20"/>
                <w:szCs w:val="20"/>
              </w:rPr>
              <w:t xml:space="preserve"> </w:t>
            </w:r>
            <w:r w:rsidR="00C12271">
              <w:rPr>
                <w:sz w:val="20"/>
                <w:szCs w:val="20"/>
              </w:rPr>
              <w:t xml:space="preserve"> </w:t>
            </w:r>
            <w:r w:rsidR="007B128F">
              <w:rPr>
                <w:sz w:val="20"/>
                <w:szCs w:val="20"/>
              </w:rPr>
              <w:t xml:space="preserve">/ </w:t>
            </w:r>
            <w:proofErr w:type="spellStart"/>
            <w:r w:rsidR="001A5D38">
              <w:rPr>
                <w:sz w:val="20"/>
                <w:szCs w:val="20"/>
              </w:rPr>
              <w:t>Plastizieren</w:t>
            </w:r>
            <w:proofErr w:type="spellEnd"/>
            <w:r w:rsidR="001A5D38">
              <w:rPr>
                <w:sz w:val="20"/>
                <w:szCs w:val="20"/>
              </w:rPr>
              <w:t xml:space="preserve"> und Zitieren</w:t>
            </w:r>
            <w:r w:rsidR="00115538">
              <w:rPr>
                <w:sz w:val="20"/>
                <w:szCs w:val="20"/>
              </w:rPr>
              <w:t xml:space="preserve"> </w:t>
            </w:r>
            <w:r w:rsidR="001A5D38">
              <w:rPr>
                <w:sz w:val="20"/>
                <w:szCs w:val="20"/>
              </w:rPr>
              <w:t>–</w:t>
            </w:r>
            <w:r w:rsidR="00115538">
              <w:rPr>
                <w:sz w:val="20"/>
                <w:szCs w:val="20"/>
              </w:rPr>
              <w:t xml:space="preserve"> </w:t>
            </w:r>
            <w:r w:rsidR="001A5D38">
              <w:rPr>
                <w:sz w:val="20"/>
                <w:szCs w:val="20"/>
              </w:rPr>
              <w:t>Bühnenbild und Installation</w:t>
            </w:r>
            <w:r w:rsidR="00115538">
              <w:rPr>
                <w:sz w:val="20"/>
                <w:szCs w:val="20"/>
              </w:rPr>
              <w:t xml:space="preserve"> </w:t>
            </w:r>
            <w:r w:rsidR="007B128F">
              <w:rPr>
                <w:sz w:val="20"/>
                <w:szCs w:val="20"/>
              </w:rPr>
              <w:t xml:space="preserve"> 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8256BD" w:rsidRDefault="008256BD" w:rsidP="00F827AD">
            <w:pPr>
              <w:rPr>
                <w:sz w:val="18"/>
                <w:szCs w:val="18"/>
              </w:rPr>
            </w:pPr>
          </w:p>
          <w:p w:rsidR="001A5D38" w:rsidRDefault="00E3500F" w:rsidP="00F827AD">
            <w:pPr>
              <w:rPr>
                <w:sz w:val="20"/>
                <w:szCs w:val="20"/>
              </w:rPr>
            </w:pPr>
            <w:r w:rsidRPr="008256BD">
              <w:rPr>
                <w:sz w:val="20"/>
                <w:szCs w:val="20"/>
              </w:rPr>
              <w:t>D</w:t>
            </w:r>
            <w:r w:rsidR="00F56D96" w:rsidRPr="008256BD">
              <w:rPr>
                <w:sz w:val="20"/>
                <w:szCs w:val="20"/>
              </w:rPr>
              <w:t xml:space="preserve">as Bild </w:t>
            </w:r>
            <w:r w:rsidR="001A5D38">
              <w:rPr>
                <w:sz w:val="20"/>
                <w:szCs w:val="20"/>
              </w:rPr>
              <w:t xml:space="preserve">(eines oder alle zur Auswahl) </w:t>
            </w:r>
            <w:r w:rsidRPr="008256BD">
              <w:rPr>
                <w:sz w:val="20"/>
                <w:szCs w:val="20"/>
              </w:rPr>
              <w:t xml:space="preserve">wird </w:t>
            </w:r>
            <w:r w:rsidR="001A5D38">
              <w:rPr>
                <w:sz w:val="20"/>
                <w:szCs w:val="20"/>
              </w:rPr>
              <w:t xml:space="preserve">vorgestellt und in seinem flächig-räumlichen Aufbau mit der Klasse in offenem U-Gespräch besprochen. </w:t>
            </w:r>
            <w:r w:rsidR="00CD62F3">
              <w:rPr>
                <w:sz w:val="20"/>
                <w:szCs w:val="20"/>
              </w:rPr>
              <w:t xml:space="preserve">Dabei </w:t>
            </w:r>
            <w:proofErr w:type="gramStart"/>
            <w:r w:rsidR="00CD62F3">
              <w:rPr>
                <w:sz w:val="20"/>
                <w:szCs w:val="20"/>
              </w:rPr>
              <w:t>werden</w:t>
            </w:r>
            <w:proofErr w:type="gramEnd"/>
            <w:r w:rsidR="00CD62F3">
              <w:rPr>
                <w:sz w:val="20"/>
                <w:szCs w:val="20"/>
              </w:rPr>
              <w:t xml:space="preserve"> </w:t>
            </w:r>
            <w:r w:rsidR="00CD62F3" w:rsidRPr="00EA2A81">
              <w:rPr>
                <w:b/>
                <w:sz w:val="20"/>
                <w:szCs w:val="20"/>
              </w:rPr>
              <w:t>Bildstruktur und Raumwirkung</w:t>
            </w:r>
            <w:r w:rsidR="00CD62F3">
              <w:rPr>
                <w:sz w:val="20"/>
                <w:szCs w:val="20"/>
              </w:rPr>
              <w:t xml:space="preserve"> festgestellt und </w:t>
            </w:r>
            <w:r w:rsidR="00EA2A81">
              <w:rPr>
                <w:sz w:val="20"/>
                <w:szCs w:val="20"/>
              </w:rPr>
              <w:t>–</w:t>
            </w:r>
            <w:r w:rsidR="006D544E">
              <w:rPr>
                <w:sz w:val="20"/>
                <w:szCs w:val="20"/>
              </w:rPr>
              <w:t xml:space="preserve"> </w:t>
            </w:r>
            <w:r w:rsidR="00EA2A81">
              <w:rPr>
                <w:sz w:val="20"/>
                <w:szCs w:val="20"/>
              </w:rPr>
              <w:t xml:space="preserve">soweit </w:t>
            </w:r>
            <w:r w:rsidR="00CD62F3">
              <w:rPr>
                <w:sz w:val="20"/>
                <w:szCs w:val="20"/>
              </w:rPr>
              <w:t>möglich</w:t>
            </w:r>
            <w:r w:rsidR="006D544E">
              <w:rPr>
                <w:sz w:val="20"/>
                <w:szCs w:val="20"/>
              </w:rPr>
              <w:t xml:space="preserve"> </w:t>
            </w:r>
            <w:r w:rsidR="00EA2A81">
              <w:rPr>
                <w:sz w:val="20"/>
                <w:szCs w:val="20"/>
              </w:rPr>
              <w:t>–</w:t>
            </w:r>
            <w:r w:rsidR="006D544E">
              <w:rPr>
                <w:sz w:val="20"/>
                <w:szCs w:val="20"/>
              </w:rPr>
              <w:t xml:space="preserve"> </w:t>
            </w:r>
            <w:r w:rsidR="00CD62F3">
              <w:rPr>
                <w:sz w:val="20"/>
                <w:szCs w:val="20"/>
              </w:rPr>
              <w:t>analysiert.</w:t>
            </w:r>
          </w:p>
          <w:p w:rsidR="00CD62F3" w:rsidRDefault="00CD62F3" w:rsidP="00F827AD">
            <w:pPr>
              <w:rPr>
                <w:sz w:val="20"/>
                <w:szCs w:val="20"/>
              </w:rPr>
            </w:pPr>
          </w:p>
          <w:p w:rsidR="00111197" w:rsidRDefault="00CD62F3" w:rsidP="00CD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Weiteren</w:t>
            </w:r>
            <w:r w:rsidR="001A5D38">
              <w:rPr>
                <w:sz w:val="20"/>
                <w:szCs w:val="20"/>
              </w:rPr>
              <w:t xml:space="preserve"> werden </w:t>
            </w:r>
            <w:r w:rsidR="001A5D38" w:rsidRPr="00EA2A81">
              <w:rPr>
                <w:b/>
                <w:sz w:val="20"/>
                <w:szCs w:val="20"/>
              </w:rPr>
              <w:t>Flächenformen als Raumebenen</w:t>
            </w:r>
            <w:r w:rsidR="001A5D38">
              <w:rPr>
                <w:sz w:val="20"/>
                <w:szCs w:val="20"/>
              </w:rPr>
              <w:t xml:space="preserve"> erkannt</w:t>
            </w:r>
            <w:r>
              <w:rPr>
                <w:sz w:val="20"/>
                <w:szCs w:val="20"/>
              </w:rPr>
              <w:t>, in verkleinerten Ausdrucken oder Kopien eingetragen sowie</w:t>
            </w:r>
            <w:r w:rsidR="001A5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vertiefender Übung </w:t>
            </w:r>
            <w:r w:rsidR="001A5D38">
              <w:rPr>
                <w:sz w:val="20"/>
                <w:szCs w:val="20"/>
              </w:rPr>
              <w:t xml:space="preserve">zeichnerisch skizziert.   </w:t>
            </w:r>
          </w:p>
          <w:p w:rsidR="00CD62F3" w:rsidRDefault="00CD62F3" w:rsidP="00CD62F3">
            <w:pPr>
              <w:rPr>
                <w:sz w:val="20"/>
                <w:szCs w:val="20"/>
              </w:rPr>
            </w:pPr>
          </w:p>
          <w:p w:rsidR="00CD62F3" w:rsidRPr="007B128F" w:rsidRDefault="00CD62F3" w:rsidP="00CD62F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Bei der Übersetzung in ein </w:t>
            </w:r>
            <w:r w:rsidRPr="00EA2A81">
              <w:rPr>
                <w:b/>
                <w:sz w:val="20"/>
                <w:szCs w:val="20"/>
              </w:rPr>
              <w:t>plastisches Anschauungsmodell</w:t>
            </w:r>
            <w:r>
              <w:rPr>
                <w:sz w:val="20"/>
                <w:szCs w:val="20"/>
              </w:rPr>
              <w:t xml:space="preserve"> werden die Flächenteile auf das gewählte neue Format zugeschnitten (angepasst).  </w:t>
            </w:r>
          </w:p>
          <w:p w:rsidR="00EE6D41" w:rsidRPr="004D1CB0" w:rsidRDefault="00EE6D41" w:rsidP="00F827AD">
            <w:pPr>
              <w:rPr>
                <w:sz w:val="16"/>
                <w:szCs w:val="16"/>
              </w:rPr>
            </w:pPr>
          </w:p>
          <w:p w:rsidR="00A6689E" w:rsidRDefault="00CD62F3" w:rsidP="006D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praktisch</w:t>
            </w:r>
            <w:r w:rsidR="006D544E">
              <w:rPr>
                <w:sz w:val="20"/>
                <w:szCs w:val="20"/>
              </w:rPr>
              <w:t>-produktive Umsetzung in einer</w:t>
            </w:r>
            <w:r>
              <w:rPr>
                <w:sz w:val="20"/>
                <w:szCs w:val="20"/>
              </w:rPr>
              <w:t xml:space="preserve"> Plastik kann als Relief, als vollplastisches Modell oder </w:t>
            </w:r>
            <w:r w:rsidR="006D544E">
              <w:rPr>
                <w:sz w:val="20"/>
                <w:szCs w:val="20"/>
              </w:rPr>
              <w:t xml:space="preserve">auch </w:t>
            </w:r>
            <w:r>
              <w:rPr>
                <w:sz w:val="20"/>
                <w:szCs w:val="20"/>
              </w:rPr>
              <w:t xml:space="preserve">als </w:t>
            </w:r>
            <w:r w:rsidR="006D544E">
              <w:rPr>
                <w:sz w:val="20"/>
                <w:szCs w:val="20"/>
              </w:rPr>
              <w:t>Bühnenbild mit kulissenartigen Flächen im Raum (Pop-</w:t>
            </w:r>
            <w:proofErr w:type="spellStart"/>
            <w:r w:rsidR="006D544E">
              <w:rPr>
                <w:sz w:val="20"/>
                <w:szCs w:val="20"/>
              </w:rPr>
              <w:t>Up</w:t>
            </w:r>
            <w:proofErr w:type="spellEnd"/>
            <w:r w:rsidR="006D544E">
              <w:rPr>
                <w:sz w:val="20"/>
                <w:szCs w:val="20"/>
              </w:rPr>
              <w:t xml:space="preserve">) erfolgen. </w:t>
            </w:r>
          </w:p>
          <w:p w:rsidR="006D544E" w:rsidRPr="00A6689E" w:rsidRDefault="006D544E" w:rsidP="006D544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9677E3" w:rsidRPr="007235F6" w:rsidRDefault="009677E3" w:rsidP="007235F6">
            <w:pPr>
              <w:ind w:left="360"/>
              <w:rPr>
                <w:sz w:val="20"/>
                <w:szCs w:val="20"/>
              </w:rPr>
            </w:pPr>
          </w:p>
          <w:p w:rsidR="006D544E" w:rsidRDefault="006D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Zentrum der praktischen Aufgabe </w:t>
            </w:r>
            <w:proofErr w:type="gramStart"/>
            <w:r>
              <w:rPr>
                <w:sz w:val="20"/>
                <w:szCs w:val="20"/>
              </w:rPr>
              <w:t>stehen</w:t>
            </w:r>
            <w:proofErr w:type="gramEnd"/>
            <w:r>
              <w:rPr>
                <w:sz w:val="20"/>
                <w:szCs w:val="20"/>
              </w:rPr>
              <w:t xml:space="preserve"> die </w:t>
            </w:r>
            <w:r w:rsidRPr="00602FCD">
              <w:rPr>
                <w:b/>
                <w:sz w:val="20"/>
                <w:szCs w:val="20"/>
              </w:rPr>
              <w:t>Bild-Formen und ihre räumliche Abfolge</w:t>
            </w:r>
            <w:r>
              <w:rPr>
                <w:sz w:val="20"/>
                <w:szCs w:val="20"/>
              </w:rPr>
              <w:t xml:space="preserve">. </w:t>
            </w:r>
            <w:r w:rsidR="00B118F4">
              <w:rPr>
                <w:sz w:val="20"/>
                <w:szCs w:val="20"/>
              </w:rPr>
              <w:t>Die plastische Reflexion wirft viele Fragen auf und fordert handwerkliches Arbeiten:</w:t>
            </w:r>
          </w:p>
          <w:p w:rsidR="006D544E" w:rsidRDefault="006D544E">
            <w:pPr>
              <w:rPr>
                <w:sz w:val="20"/>
                <w:szCs w:val="20"/>
              </w:rPr>
            </w:pPr>
          </w:p>
          <w:p w:rsidR="006D544E" w:rsidRDefault="006D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Umsetzung als </w:t>
            </w:r>
            <w:r w:rsidRPr="00602FCD">
              <w:rPr>
                <w:b/>
                <w:sz w:val="20"/>
                <w:szCs w:val="20"/>
              </w:rPr>
              <w:t>Relief</w:t>
            </w:r>
            <w:r>
              <w:rPr>
                <w:sz w:val="20"/>
                <w:szCs w:val="20"/>
              </w:rPr>
              <w:t xml:space="preserve"> ist mit Ton gut zu machen. Ebenso ein </w:t>
            </w:r>
            <w:r w:rsidRPr="00602FCD">
              <w:rPr>
                <w:b/>
                <w:sz w:val="20"/>
                <w:szCs w:val="20"/>
              </w:rPr>
              <w:t xml:space="preserve">vollplastisches </w:t>
            </w:r>
            <w:proofErr w:type="spellStart"/>
            <w:r w:rsidRPr="00602FCD">
              <w:rPr>
                <w:b/>
                <w:sz w:val="20"/>
                <w:szCs w:val="20"/>
              </w:rPr>
              <w:t>Bozzetto</w:t>
            </w:r>
            <w:proofErr w:type="spellEnd"/>
            <w:r>
              <w:rPr>
                <w:sz w:val="20"/>
                <w:szCs w:val="20"/>
              </w:rPr>
              <w:t xml:space="preserve">, das im Widerspruch zum Vorbild beim Tiefenraum </w:t>
            </w:r>
            <w:r w:rsidR="00602FCD">
              <w:rPr>
                <w:sz w:val="20"/>
                <w:szCs w:val="20"/>
              </w:rPr>
              <w:t xml:space="preserve">evtl. </w:t>
            </w:r>
            <w:r>
              <w:rPr>
                <w:sz w:val="20"/>
                <w:szCs w:val="20"/>
              </w:rPr>
              <w:t xml:space="preserve">verkürzen (und </w:t>
            </w:r>
            <w:r w:rsidR="00602FCD">
              <w:rPr>
                <w:sz w:val="20"/>
                <w:szCs w:val="20"/>
              </w:rPr>
              <w:t>u.U.</w:t>
            </w:r>
            <w:r>
              <w:rPr>
                <w:sz w:val="20"/>
                <w:szCs w:val="20"/>
              </w:rPr>
              <w:t xml:space="preserve"> verkleinern) muss. </w:t>
            </w:r>
          </w:p>
          <w:p w:rsidR="006D544E" w:rsidRDefault="006D544E">
            <w:pPr>
              <w:rPr>
                <w:sz w:val="20"/>
                <w:szCs w:val="20"/>
              </w:rPr>
            </w:pPr>
          </w:p>
          <w:p w:rsidR="009A065A" w:rsidRDefault="006D544E" w:rsidP="00B1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„</w:t>
            </w:r>
            <w:r w:rsidRPr="00EA2A81">
              <w:rPr>
                <w:b/>
                <w:sz w:val="20"/>
                <w:szCs w:val="20"/>
              </w:rPr>
              <w:t>Bühnenbild im Schuhkarton</w:t>
            </w:r>
            <w:r>
              <w:rPr>
                <w:sz w:val="20"/>
                <w:szCs w:val="20"/>
              </w:rPr>
              <w:t xml:space="preserve">“, das die Raumschichten </w:t>
            </w:r>
            <w:r w:rsidR="00602FCD">
              <w:rPr>
                <w:sz w:val="20"/>
                <w:szCs w:val="20"/>
              </w:rPr>
              <w:t xml:space="preserve">sukzessive </w:t>
            </w:r>
            <w:r>
              <w:rPr>
                <w:sz w:val="20"/>
                <w:szCs w:val="20"/>
              </w:rPr>
              <w:t xml:space="preserve">staffelt, kann nach dem Vorbild des Originals </w:t>
            </w:r>
            <w:r w:rsidR="00B118F4">
              <w:rPr>
                <w:sz w:val="20"/>
                <w:szCs w:val="20"/>
              </w:rPr>
              <w:t xml:space="preserve">in freien Formen </w:t>
            </w:r>
            <w:r>
              <w:rPr>
                <w:sz w:val="20"/>
                <w:szCs w:val="20"/>
              </w:rPr>
              <w:t xml:space="preserve">nachgearbeitet </w:t>
            </w:r>
            <w:r w:rsidR="00B118F4">
              <w:rPr>
                <w:sz w:val="20"/>
                <w:szCs w:val="20"/>
              </w:rPr>
              <w:t xml:space="preserve">und neu komponiert oder </w:t>
            </w:r>
            <w:proofErr w:type="spellStart"/>
            <w:r w:rsidR="00B118F4">
              <w:rPr>
                <w:sz w:val="20"/>
                <w:szCs w:val="20"/>
              </w:rPr>
              <w:t>collageartig</w:t>
            </w:r>
            <w:proofErr w:type="spellEnd"/>
            <w:r w:rsidR="00B118F4">
              <w:rPr>
                <w:sz w:val="20"/>
                <w:szCs w:val="20"/>
              </w:rPr>
              <w:t xml:space="preserve"> mit kopierten Versatzstücken (</w:t>
            </w:r>
            <w:proofErr w:type="spellStart"/>
            <w:r w:rsidR="00B118F4">
              <w:rPr>
                <w:sz w:val="20"/>
                <w:szCs w:val="20"/>
              </w:rPr>
              <w:t>Bildaussschnitten</w:t>
            </w:r>
            <w:proofErr w:type="spellEnd"/>
            <w:r w:rsidR="00B118F4">
              <w:rPr>
                <w:sz w:val="20"/>
                <w:szCs w:val="20"/>
              </w:rPr>
              <w:t xml:space="preserve"> des Originals) nachgestellt werden. </w:t>
            </w:r>
            <w:r w:rsidR="00602FCD">
              <w:rPr>
                <w:sz w:val="20"/>
                <w:szCs w:val="20"/>
              </w:rPr>
              <w:t>Bei der Montage</w:t>
            </w:r>
            <w:r w:rsidR="00B118F4">
              <w:rPr>
                <w:sz w:val="20"/>
                <w:szCs w:val="20"/>
              </w:rPr>
              <w:t xml:space="preserve"> sind Positionen, Größen und Abstände maßgeblich zu bestimmen</w:t>
            </w:r>
            <w:r w:rsidR="00602FCD">
              <w:rPr>
                <w:sz w:val="20"/>
                <w:szCs w:val="20"/>
              </w:rPr>
              <w:t>, d.h. bewusst zu steuern.</w:t>
            </w:r>
          </w:p>
          <w:p w:rsidR="00B118F4" w:rsidRDefault="00B118F4" w:rsidP="00B118F4">
            <w:pPr>
              <w:rPr>
                <w:sz w:val="20"/>
                <w:szCs w:val="20"/>
              </w:rPr>
            </w:pPr>
          </w:p>
          <w:p w:rsidR="00E23010" w:rsidRPr="004D1CB0" w:rsidRDefault="004D1CB0" w:rsidP="004D1C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  </w:t>
            </w:r>
            <w:r w:rsidR="009C1F31" w:rsidRPr="004D1CB0">
              <w:rPr>
                <w:b/>
                <w:sz w:val="20"/>
                <w:szCs w:val="20"/>
              </w:rPr>
              <w:t xml:space="preserve">Erfahrung: </w:t>
            </w:r>
            <w:r w:rsidR="00B118F4">
              <w:rPr>
                <w:b/>
                <w:sz w:val="20"/>
                <w:szCs w:val="20"/>
              </w:rPr>
              <w:t>Bildebenen und Größen erzeugen Raum und Illusion</w:t>
            </w:r>
            <w:r w:rsidR="00602FCD">
              <w:rPr>
                <w:b/>
                <w:sz w:val="20"/>
                <w:szCs w:val="20"/>
              </w:rPr>
              <w:t>, Abstände Spannung</w:t>
            </w:r>
            <w:r w:rsidR="00E23010" w:rsidRPr="004D1CB0">
              <w:rPr>
                <w:b/>
                <w:sz w:val="20"/>
                <w:szCs w:val="20"/>
              </w:rPr>
              <w:t>.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9677E3" w:rsidRDefault="009677E3">
            <w:pPr>
              <w:rPr>
                <w:sz w:val="20"/>
                <w:szCs w:val="20"/>
              </w:rPr>
            </w:pPr>
          </w:p>
          <w:p w:rsidR="00602FCD" w:rsidRDefault="00B1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Besonderen wird hier die Beziehung von Figur und Grund, sowie </w:t>
            </w:r>
            <w:r w:rsidR="00602FCD">
              <w:rPr>
                <w:sz w:val="20"/>
                <w:szCs w:val="20"/>
              </w:rPr>
              <w:t>ihr</w:t>
            </w:r>
            <w:r>
              <w:rPr>
                <w:sz w:val="20"/>
                <w:szCs w:val="20"/>
              </w:rPr>
              <w:t xml:space="preserve"> Kontext zur Gesamtstruktur bzw. Rahmenarchitektur fo</w:t>
            </w:r>
            <w:r w:rsidR="00602FC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ussiert. </w:t>
            </w:r>
          </w:p>
          <w:p w:rsidR="00602FCD" w:rsidRDefault="0060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Dabei spielen Schichtungen und Größenverhältnisse eine entscheidende Rolle, u.U. auch </w:t>
            </w:r>
            <w:r w:rsidR="00EA2A81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Farbwirkungen</w:t>
            </w:r>
            <w:r w:rsidR="00EA2A81">
              <w:rPr>
                <w:sz w:val="20"/>
                <w:szCs w:val="20"/>
              </w:rPr>
              <w:t xml:space="preserve"> (</w:t>
            </w:r>
            <w:r w:rsidR="00633C1B">
              <w:rPr>
                <w:sz w:val="20"/>
                <w:szCs w:val="20"/>
              </w:rPr>
              <w:t>F</w:t>
            </w:r>
            <w:r w:rsidR="00EA2A81">
              <w:rPr>
                <w:sz w:val="20"/>
                <w:szCs w:val="20"/>
              </w:rPr>
              <w:t>arb</w:t>
            </w:r>
            <w:r w:rsidR="00633C1B">
              <w:rPr>
                <w:sz w:val="20"/>
                <w:szCs w:val="20"/>
              </w:rPr>
              <w:t>- und Luft</w:t>
            </w:r>
            <w:r w:rsidR="00EA2A81">
              <w:rPr>
                <w:sz w:val="20"/>
                <w:szCs w:val="20"/>
              </w:rPr>
              <w:t>perspektive)</w:t>
            </w:r>
            <w:r>
              <w:rPr>
                <w:sz w:val="20"/>
                <w:szCs w:val="20"/>
              </w:rPr>
              <w:t>.</w:t>
            </w:r>
          </w:p>
          <w:p w:rsidR="00602FCD" w:rsidRDefault="0060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Entsprechende zeichnerische </w:t>
            </w:r>
            <w:r w:rsidR="00633C1B">
              <w:rPr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malerische Übungen zur Raumdarstellung können geeigneter Weise vorausgehen, evtl. auch daran anschließen. </w:t>
            </w:r>
          </w:p>
          <w:p w:rsidR="00EA2A81" w:rsidRDefault="00EA2A81" w:rsidP="00602FCD">
            <w:pPr>
              <w:rPr>
                <w:sz w:val="20"/>
                <w:szCs w:val="20"/>
              </w:rPr>
            </w:pPr>
          </w:p>
          <w:p w:rsidR="00602FCD" w:rsidRDefault="00EA2A81" w:rsidP="00EA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Weiteren</w:t>
            </w:r>
            <w:r w:rsidR="00602FCD">
              <w:rPr>
                <w:sz w:val="20"/>
                <w:szCs w:val="20"/>
              </w:rPr>
              <w:t xml:space="preserve"> könnten sich </w:t>
            </w:r>
            <w:r w:rsidR="00602FCD" w:rsidRPr="00602FCD">
              <w:rPr>
                <w:i/>
                <w:sz w:val="20"/>
                <w:szCs w:val="20"/>
              </w:rPr>
              <w:t>Bildergeschichte</w:t>
            </w:r>
            <w:r w:rsidR="00602FCD">
              <w:rPr>
                <w:sz w:val="20"/>
                <w:szCs w:val="20"/>
              </w:rPr>
              <w:t xml:space="preserve"> oder </w:t>
            </w:r>
            <w:r w:rsidR="00602FCD" w:rsidRPr="00602FCD">
              <w:rPr>
                <w:i/>
                <w:sz w:val="20"/>
                <w:szCs w:val="20"/>
              </w:rPr>
              <w:t xml:space="preserve">Comic </w:t>
            </w:r>
            <w:r>
              <w:rPr>
                <w:i/>
                <w:sz w:val="20"/>
                <w:szCs w:val="20"/>
              </w:rPr>
              <w:t>(</w:t>
            </w:r>
            <w:r w:rsidR="00602FCD">
              <w:rPr>
                <w:sz w:val="20"/>
                <w:szCs w:val="20"/>
              </w:rPr>
              <w:t>zu selbst gewählten Erzählstoffen</w:t>
            </w:r>
            <w:r>
              <w:rPr>
                <w:sz w:val="20"/>
                <w:szCs w:val="20"/>
              </w:rPr>
              <w:t>)</w:t>
            </w:r>
            <w:r w:rsidR="00602FCD">
              <w:rPr>
                <w:sz w:val="20"/>
                <w:szCs w:val="20"/>
              </w:rPr>
              <w:t xml:space="preserve"> ergeben</w:t>
            </w:r>
            <w:r>
              <w:rPr>
                <w:sz w:val="20"/>
                <w:szCs w:val="20"/>
              </w:rPr>
              <w:t>.</w:t>
            </w:r>
            <w:r w:rsidR="00633C1B">
              <w:rPr>
                <w:sz w:val="20"/>
                <w:szCs w:val="20"/>
              </w:rPr>
              <w:t xml:space="preserve"> Aber auch ein Museums- oder Theaterbesuch bieten weitere Betrachtungsfelder. </w:t>
            </w:r>
          </w:p>
          <w:p w:rsidR="00EA2A81" w:rsidRPr="00A6689E" w:rsidRDefault="00EA2A81" w:rsidP="00EA2A81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5F2F72" w:rsidRDefault="005F2F72">
            <w:pPr>
              <w:rPr>
                <w:sz w:val="16"/>
                <w:szCs w:val="16"/>
              </w:rPr>
            </w:pPr>
          </w:p>
          <w:p w:rsidR="00F827AD" w:rsidRPr="005F2F72" w:rsidRDefault="009A065A">
            <w:pPr>
              <w:rPr>
                <w:sz w:val="16"/>
                <w:szCs w:val="16"/>
              </w:rPr>
            </w:pPr>
            <w:r w:rsidRPr="005F2F72">
              <w:rPr>
                <w:sz w:val="16"/>
                <w:szCs w:val="16"/>
              </w:rPr>
              <w:t>PBK:</w:t>
            </w:r>
            <w:r w:rsidR="005F2F72" w:rsidRPr="005F2F72">
              <w:rPr>
                <w:sz w:val="16"/>
                <w:szCs w:val="16"/>
              </w:rPr>
              <w:t xml:space="preserve"> </w:t>
            </w:r>
            <w:r w:rsidRPr="005F2F72">
              <w:rPr>
                <w:sz w:val="16"/>
                <w:szCs w:val="16"/>
              </w:rPr>
              <w:t>alle; IBK: 3.2.1.Bild (1</w:t>
            </w:r>
            <w:r w:rsidR="00EA2A81">
              <w:rPr>
                <w:sz w:val="16"/>
                <w:szCs w:val="16"/>
              </w:rPr>
              <w:t>,2,4, evtl. 5,6,</w:t>
            </w:r>
            <w:r w:rsidRPr="005F2F72">
              <w:rPr>
                <w:sz w:val="16"/>
                <w:szCs w:val="16"/>
              </w:rPr>
              <w:t>.7), aber auch Fläche, Raum; Medien</w:t>
            </w:r>
          </w:p>
          <w:p w:rsidR="00A6689E" w:rsidRPr="005F2F72" w:rsidRDefault="00115538">
            <w:pPr>
              <w:rPr>
                <w:sz w:val="16"/>
                <w:szCs w:val="16"/>
              </w:rPr>
            </w:pPr>
            <w:r w:rsidRPr="005F2F72">
              <w:rPr>
                <w:sz w:val="16"/>
                <w:szCs w:val="16"/>
              </w:rPr>
              <w:t xml:space="preserve">F: </w:t>
            </w:r>
            <w:r w:rsidR="00EA2A81">
              <w:rPr>
                <w:sz w:val="16"/>
                <w:szCs w:val="16"/>
              </w:rPr>
              <w:t xml:space="preserve">Deutsch, </w:t>
            </w:r>
            <w:r w:rsidR="009A065A" w:rsidRPr="005F2F72">
              <w:rPr>
                <w:sz w:val="16"/>
                <w:szCs w:val="16"/>
              </w:rPr>
              <w:t>Geschichte 3.2.2; Musik 3.2.2</w:t>
            </w:r>
          </w:p>
          <w:p w:rsidR="00A6689E" w:rsidRPr="00A6689E" w:rsidRDefault="009A065A" w:rsidP="00EA2A81">
            <w:pPr>
              <w:rPr>
                <w:sz w:val="20"/>
                <w:szCs w:val="20"/>
              </w:rPr>
            </w:pPr>
            <w:r w:rsidRPr="005F2F72">
              <w:rPr>
                <w:sz w:val="16"/>
                <w:szCs w:val="16"/>
              </w:rPr>
              <w:t xml:space="preserve">L: </w:t>
            </w:r>
            <w:r w:rsidR="00C12271" w:rsidRPr="005F2F72">
              <w:rPr>
                <w:sz w:val="16"/>
                <w:szCs w:val="16"/>
              </w:rPr>
              <w:t xml:space="preserve"> BTV, MB</w:t>
            </w:r>
          </w:p>
        </w:tc>
      </w:tr>
    </w:tbl>
    <w:p w:rsidR="00F827AD" w:rsidRPr="00D735E2" w:rsidRDefault="00F827AD" w:rsidP="00C12271"/>
    <w:sectPr w:rsidR="00F827AD" w:rsidRPr="00D735E2" w:rsidSect="00C12271"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7FA"/>
    <w:multiLevelType w:val="hybridMultilevel"/>
    <w:tmpl w:val="9BFEE318"/>
    <w:lvl w:ilvl="0" w:tplc="494C6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4D6B"/>
    <w:multiLevelType w:val="hybridMultilevel"/>
    <w:tmpl w:val="FF2A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053ADC"/>
    <w:rsid w:val="00111197"/>
    <w:rsid w:val="00115538"/>
    <w:rsid w:val="001A5D38"/>
    <w:rsid w:val="001E0139"/>
    <w:rsid w:val="0029047A"/>
    <w:rsid w:val="004C59B2"/>
    <w:rsid w:val="004D1CB0"/>
    <w:rsid w:val="004E4416"/>
    <w:rsid w:val="005F2F72"/>
    <w:rsid w:val="00602FCD"/>
    <w:rsid w:val="00633C1B"/>
    <w:rsid w:val="006D544E"/>
    <w:rsid w:val="00702F94"/>
    <w:rsid w:val="007235F6"/>
    <w:rsid w:val="00763440"/>
    <w:rsid w:val="007A748D"/>
    <w:rsid w:val="007B128F"/>
    <w:rsid w:val="007F6F4C"/>
    <w:rsid w:val="008256BD"/>
    <w:rsid w:val="009677E3"/>
    <w:rsid w:val="009A065A"/>
    <w:rsid w:val="009B49DF"/>
    <w:rsid w:val="009C1F31"/>
    <w:rsid w:val="00A6689E"/>
    <w:rsid w:val="00B118F4"/>
    <w:rsid w:val="00BB3790"/>
    <w:rsid w:val="00C12271"/>
    <w:rsid w:val="00CD62F3"/>
    <w:rsid w:val="00D07385"/>
    <w:rsid w:val="00D735E2"/>
    <w:rsid w:val="00E23010"/>
    <w:rsid w:val="00E236AE"/>
    <w:rsid w:val="00E3500F"/>
    <w:rsid w:val="00EA2A81"/>
    <w:rsid w:val="00EE6D41"/>
    <w:rsid w:val="00F530D4"/>
    <w:rsid w:val="00F56D96"/>
    <w:rsid w:val="00F827AD"/>
    <w:rsid w:val="00F9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4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Werwigk</cp:lastModifiedBy>
  <cp:revision>4</cp:revision>
  <dcterms:created xsi:type="dcterms:W3CDTF">2016-02-13T19:49:00Z</dcterms:created>
  <dcterms:modified xsi:type="dcterms:W3CDTF">2016-02-17T17:38:00Z</dcterms:modified>
</cp:coreProperties>
</file>