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FCA2F" w14:textId="77777777" w:rsidR="004A7CE3" w:rsidRPr="00A36DE1" w:rsidRDefault="004E6496">
      <w:pPr>
        <w:rPr>
          <w:b/>
        </w:rPr>
      </w:pPr>
      <w:r>
        <w:rPr>
          <w:b/>
        </w:rPr>
        <w:t>BP 2016 GYMNASIUM,</w:t>
      </w:r>
      <w:r w:rsidR="00FF6F27" w:rsidRPr="00A36DE1">
        <w:rPr>
          <w:b/>
        </w:rPr>
        <w:t xml:space="preserve"> BILDENDE KUNS</w:t>
      </w:r>
      <w:r>
        <w:rPr>
          <w:b/>
        </w:rPr>
        <w:t>T</w:t>
      </w:r>
      <w:r w:rsidR="00A36DE1">
        <w:rPr>
          <w:b/>
        </w:rPr>
        <w:t>, ANHÖRUNGSFASSUNG MAI 2015</w:t>
      </w:r>
      <w:r w:rsidR="00A36DE1">
        <w:rPr>
          <w:b/>
        </w:rPr>
        <w:tab/>
      </w:r>
      <w:r w:rsidR="00A36DE1">
        <w:rPr>
          <w:b/>
        </w:rPr>
        <w:tab/>
      </w:r>
      <w:r w:rsidR="00A36DE1">
        <w:rPr>
          <w:b/>
        </w:rPr>
        <w:tab/>
      </w:r>
      <w:r w:rsidR="00A36DE1">
        <w:rPr>
          <w:b/>
        </w:rPr>
        <w:tab/>
      </w:r>
      <w:r w:rsidR="00A36DE1">
        <w:rPr>
          <w:b/>
        </w:rPr>
        <w:tab/>
      </w:r>
      <w:r w:rsidR="00A36DE1">
        <w:rPr>
          <w:b/>
        </w:rPr>
        <w:tab/>
      </w:r>
      <w:r w:rsidR="00A36DE1" w:rsidRPr="00A36DE1">
        <w:rPr>
          <w:b/>
        </w:rPr>
        <w:t>Klassen 9/</w:t>
      </w:r>
      <w:r w:rsidR="005640C6" w:rsidRPr="00A36DE1">
        <w:rPr>
          <w:b/>
        </w:rPr>
        <w:t>10</w:t>
      </w:r>
      <w:r w:rsidR="004A7CE3" w:rsidRPr="00A36DE1">
        <w:rPr>
          <w:b/>
        </w:rPr>
        <w:t xml:space="preserve"> </w:t>
      </w:r>
      <w:r w:rsidR="004A7CE3" w:rsidRPr="00A36DE1">
        <w:rPr>
          <w:b/>
        </w:rPr>
        <w:tab/>
      </w:r>
      <w:r w:rsidR="004A7CE3" w:rsidRPr="00A36DE1">
        <w:rPr>
          <w:b/>
        </w:rPr>
        <w:tab/>
      </w:r>
      <w:r w:rsidR="004A7CE3" w:rsidRPr="00A36DE1">
        <w:rPr>
          <w:b/>
        </w:rPr>
        <w:tab/>
      </w:r>
      <w:r w:rsidR="004A7CE3" w:rsidRPr="00A36DE1">
        <w:rPr>
          <w:b/>
        </w:rPr>
        <w:tab/>
      </w:r>
      <w:r w:rsidR="004A7CE3" w:rsidRPr="00A36DE1">
        <w:rPr>
          <w:b/>
        </w:rPr>
        <w:tab/>
      </w:r>
      <w:r w:rsidR="004A7CE3" w:rsidRPr="00A36DE1">
        <w:rPr>
          <w:b/>
        </w:rPr>
        <w:tab/>
      </w:r>
      <w:r w:rsidR="004A7CE3" w:rsidRPr="00A36DE1">
        <w:rPr>
          <w:b/>
        </w:rPr>
        <w:tab/>
      </w:r>
      <w:r w:rsidR="004A7CE3" w:rsidRPr="00A36DE1">
        <w:rPr>
          <w:b/>
        </w:rPr>
        <w:tab/>
      </w:r>
      <w:r w:rsidR="004A7CE3" w:rsidRPr="00A36DE1">
        <w:rPr>
          <w:b/>
        </w:rPr>
        <w:tab/>
      </w:r>
      <w:r w:rsidR="004A7CE3" w:rsidRPr="00A36DE1">
        <w:rPr>
          <w:b/>
        </w:rPr>
        <w:tab/>
      </w:r>
      <w:r w:rsidR="004A7CE3" w:rsidRPr="00A36DE1">
        <w:rPr>
          <w:b/>
        </w:rPr>
        <w:tab/>
      </w:r>
      <w:r w:rsidR="004A7CE3" w:rsidRPr="00A36DE1">
        <w:rPr>
          <w:b/>
        </w:rPr>
        <w:tab/>
      </w:r>
      <w:r w:rsidR="004A7CE3" w:rsidRPr="00A36DE1">
        <w:rPr>
          <w:b/>
        </w:rPr>
        <w:tab/>
        <w:t xml:space="preserve">                          </w:t>
      </w:r>
    </w:p>
    <w:tbl>
      <w:tblPr>
        <w:tblStyle w:val="Tabellenraster"/>
        <w:tblW w:w="0" w:type="auto"/>
        <w:tblLayout w:type="fixed"/>
        <w:tblLook w:val="04A0" w:firstRow="1" w:lastRow="0" w:firstColumn="1" w:lastColumn="0" w:noHBand="0" w:noVBand="1"/>
      </w:tblPr>
      <w:tblGrid>
        <w:gridCol w:w="2660"/>
        <w:gridCol w:w="2485"/>
        <w:gridCol w:w="2334"/>
        <w:gridCol w:w="2520"/>
        <w:gridCol w:w="2185"/>
        <w:gridCol w:w="2301"/>
      </w:tblGrid>
      <w:tr w:rsidR="004A7CE3" w14:paraId="3BCA3B4A" w14:textId="77777777" w:rsidTr="005640C6">
        <w:tc>
          <w:tcPr>
            <w:tcW w:w="5145" w:type="dxa"/>
            <w:gridSpan w:val="2"/>
          </w:tcPr>
          <w:p w14:paraId="6DCC6BA0" w14:textId="77777777" w:rsidR="004A7CE3" w:rsidRDefault="004A7CE3">
            <w:r>
              <w:t>FLÄCHE</w:t>
            </w:r>
          </w:p>
        </w:tc>
        <w:tc>
          <w:tcPr>
            <w:tcW w:w="4854" w:type="dxa"/>
            <w:gridSpan w:val="2"/>
          </w:tcPr>
          <w:p w14:paraId="5649D162" w14:textId="77777777" w:rsidR="004A7CE3" w:rsidRDefault="004A7CE3">
            <w:r>
              <w:t>RAUM</w:t>
            </w:r>
          </w:p>
        </w:tc>
        <w:tc>
          <w:tcPr>
            <w:tcW w:w="4486" w:type="dxa"/>
            <w:gridSpan w:val="2"/>
          </w:tcPr>
          <w:p w14:paraId="68F28AF8" w14:textId="77777777" w:rsidR="004A7CE3" w:rsidRDefault="004A7CE3">
            <w:r>
              <w:t>ZEIT</w:t>
            </w:r>
          </w:p>
        </w:tc>
      </w:tr>
      <w:tr w:rsidR="005640C6" w14:paraId="722D8E18" w14:textId="77777777" w:rsidTr="00BE0ABB">
        <w:trPr>
          <w:trHeight w:val="343"/>
        </w:trPr>
        <w:tc>
          <w:tcPr>
            <w:tcW w:w="2660" w:type="dxa"/>
            <w:shd w:val="clear" w:color="auto" w:fill="FFFF00"/>
          </w:tcPr>
          <w:p w14:paraId="58514EA3" w14:textId="77777777" w:rsidR="004A7CE3" w:rsidRDefault="004A7CE3">
            <w:r>
              <w:t>Grafik</w:t>
            </w:r>
          </w:p>
        </w:tc>
        <w:tc>
          <w:tcPr>
            <w:tcW w:w="2485" w:type="dxa"/>
            <w:shd w:val="clear" w:color="auto" w:fill="FF6600"/>
          </w:tcPr>
          <w:p w14:paraId="4242AB5E" w14:textId="77777777" w:rsidR="004A7CE3" w:rsidRDefault="004A7CE3">
            <w:r>
              <w:t>Malerei</w:t>
            </w:r>
          </w:p>
        </w:tc>
        <w:tc>
          <w:tcPr>
            <w:tcW w:w="2334" w:type="dxa"/>
            <w:shd w:val="clear" w:color="auto" w:fill="FF0000"/>
          </w:tcPr>
          <w:p w14:paraId="12B4FB0F" w14:textId="77777777" w:rsidR="004A7CE3" w:rsidRDefault="004A7CE3">
            <w:r>
              <w:t>Plastik</w:t>
            </w:r>
          </w:p>
        </w:tc>
        <w:tc>
          <w:tcPr>
            <w:tcW w:w="2520" w:type="dxa"/>
            <w:shd w:val="clear" w:color="auto" w:fill="660066"/>
          </w:tcPr>
          <w:p w14:paraId="441033FC" w14:textId="77777777" w:rsidR="004A7CE3" w:rsidRDefault="004A7CE3">
            <w:r>
              <w:t>Architektur</w:t>
            </w:r>
          </w:p>
        </w:tc>
        <w:tc>
          <w:tcPr>
            <w:tcW w:w="2185" w:type="dxa"/>
            <w:shd w:val="clear" w:color="auto" w:fill="0000FF"/>
          </w:tcPr>
          <w:p w14:paraId="3CA7139A" w14:textId="77777777" w:rsidR="004A7CE3" w:rsidRDefault="004A7CE3">
            <w:r>
              <w:t>Medien</w:t>
            </w:r>
          </w:p>
        </w:tc>
        <w:tc>
          <w:tcPr>
            <w:tcW w:w="2301" w:type="dxa"/>
            <w:shd w:val="clear" w:color="auto" w:fill="008000"/>
          </w:tcPr>
          <w:p w14:paraId="70A7D89A" w14:textId="77777777" w:rsidR="004A7CE3" w:rsidRDefault="004A7CE3">
            <w:r>
              <w:t>Aktion</w:t>
            </w:r>
          </w:p>
        </w:tc>
      </w:tr>
      <w:tr w:rsidR="005640C6" w14:paraId="113F38B5" w14:textId="77777777" w:rsidTr="00BE0ABB">
        <w:trPr>
          <w:trHeight w:val="341"/>
        </w:trPr>
        <w:tc>
          <w:tcPr>
            <w:tcW w:w="2660" w:type="dxa"/>
            <w:shd w:val="clear" w:color="auto" w:fill="F4F8D7"/>
          </w:tcPr>
          <w:p w14:paraId="58B11C30" w14:textId="77777777" w:rsidR="005640C6" w:rsidRPr="005640C6" w:rsidRDefault="005640C6" w:rsidP="005640C6">
            <w:pPr>
              <w:pStyle w:val="BPIKKompetenzBeschreibung"/>
              <w:jc w:val="left"/>
            </w:pPr>
            <w:bookmarkStart w:id="0" w:name="_GoBack" w:colFirst="0" w:colLast="0"/>
            <w:r w:rsidRPr="005640C6">
              <w:t>Die Schülerinnen und Schüler erproben in offenen Prozessen freie grafische Ausdrucksmöglichkeiten und entwickeln eigene Gestaltungsformen zwischen Gegenständlichkeit und Abstraktion.</w:t>
            </w:r>
          </w:p>
          <w:p w14:paraId="1D9345D1" w14:textId="77777777" w:rsidR="005640C6" w:rsidRPr="005640C6" w:rsidRDefault="005640C6" w:rsidP="005640C6">
            <w:pPr>
              <w:pStyle w:val="BPIKKompetenzBeschreibung"/>
              <w:jc w:val="left"/>
            </w:pPr>
            <w:r w:rsidRPr="005640C6">
              <w:t>Die Schülerinnen und Schüler können</w:t>
            </w:r>
          </w:p>
          <w:p w14:paraId="35EA1760" w14:textId="77777777" w:rsidR="004A7CE3" w:rsidRPr="005640C6" w:rsidRDefault="004A7CE3" w:rsidP="005640C6">
            <w:pPr>
              <w:pStyle w:val="BPIKKompetenzBeschreibung"/>
              <w:jc w:val="left"/>
            </w:pPr>
          </w:p>
        </w:tc>
        <w:tc>
          <w:tcPr>
            <w:tcW w:w="2485" w:type="dxa"/>
            <w:shd w:val="clear" w:color="auto" w:fill="FDE9D9" w:themeFill="accent6" w:themeFillTint="33"/>
          </w:tcPr>
          <w:p w14:paraId="708F9D68" w14:textId="77777777" w:rsidR="005640C6" w:rsidRPr="005640C6" w:rsidRDefault="005640C6" w:rsidP="005640C6">
            <w:pPr>
              <w:pStyle w:val="BPIKKompetenzBeschreibung"/>
              <w:jc w:val="left"/>
            </w:pPr>
            <w:r w:rsidRPr="005640C6">
              <w:t>D</w:t>
            </w:r>
            <w:r w:rsidR="00485F59">
              <w:t>ie Schülerinnen und Schüler setz</w:t>
            </w:r>
            <w:r w:rsidRPr="005640C6">
              <w:t>en in Gestaltungsp</w:t>
            </w:r>
            <w:r w:rsidR="00485F59">
              <w:t>rozessen Farbe gezielt ein</w:t>
            </w:r>
            <w:r w:rsidRPr="005640C6">
              <w:t>. In offenen Prozessen erproben und entwickeln sie freie malerische Ausdrucksformen zwischen Gegenständlichkeit und Abstraktion. Sie kombinieren dabei verschiedene malerische Mittel.</w:t>
            </w:r>
          </w:p>
          <w:p w14:paraId="50968F53" w14:textId="77777777" w:rsidR="005640C6" w:rsidRPr="005640C6" w:rsidRDefault="005640C6" w:rsidP="005640C6">
            <w:pPr>
              <w:pStyle w:val="BPIKKompetenzBeschreibung"/>
              <w:jc w:val="left"/>
            </w:pPr>
            <w:r w:rsidRPr="005640C6">
              <w:t>Die Schülerinnen und Schüler können</w:t>
            </w:r>
          </w:p>
          <w:p w14:paraId="3B053666" w14:textId="77777777" w:rsidR="004A7CE3" w:rsidRPr="005640C6" w:rsidRDefault="004A7CE3" w:rsidP="005640C6">
            <w:pPr>
              <w:pStyle w:val="BPIKKompetenzBeschreibung"/>
              <w:jc w:val="left"/>
            </w:pPr>
          </w:p>
        </w:tc>
        <w:tc>
          <w:tcPr>
            <w:tcW w:w="2334" w:type="dxa"/>
            <w:shd w:val="clear" w:color="auto" w:fill="FFC0C9"/>
          </w:tcPr>
          <w:p w14:paraId="5204B953" w14:textId="77777777" w:rsidR="005640C6" w:rsidRPr="005640C6" w:rsidRDefault="005640C6" w:rsidP="005640C6">
            <w:pPr>
              <w:pStyle w:val="BPIKKompetenzBeschreibung"/>
              <w:jc w:val="left"/>
            </w:pPr>
            <w:r w:rsidRPr="005640C6">
              <w:t>Die Schülerinnen und Schüler arbeiten dreidimensional. Sie setzen verschiedene Materialien ein und reflektieren deren Wirkung im Hinblick auf Inhalt und Form sowie auf Gegenständlichkeit und Abstraktion. Sie beschäftigen sich mit Prozessen des Produktdesigns.</w:t>
            </w:r>
          </w:p>
          <w:p w14:paraId="1A468FEE" w14:textId="77777777" w:rsidR="005640C6" w:rsidRPr="005640C6" w:rsidRDefault="005640C6" w:rsidP="005640C6">
            <w:pPr>
              <w:pStyle w:val="BPIKKompetenzBeschreibung"/>
              <w:jc w:val="left"/>
            </w:pPr>
            <w:r w:rsidRPr="005640C6">
              <w:t>Die Schülerinnen und Schüler können</w:t>
            </w:r>
          </w:p>
          <w:p w14:paraId="200C4AB8" w14:textId="77777777" w:rsidR="004A7CE3" w:rsidRPr="005640C6" w:rsidRDefault="004A7CE3" w:rsidP="005640C6">
            <w:pPr>
              <w:pStyle w:val="BPIKKompetenzBeschreibung"/>
              <w:jc w:val="left"/>
            </w:pPr>
          </w:p>
        </w:tc>
        <w:tc>
          <w:tcPr>
            <w:tcW w:w="2520" w:type="dxa"/>
            <w:shd w:val="clear" w:color="auto" w:fill="CCC0D9" w:themeFill="accent4" w:themeFillTint="66"/>
          </w:tcPr>
          <w:p w14:paraId="129B4399" w14:textId="77777777" w:rsidR="005640C6" w:rsidRPr="005640C6" w:rsidRDefault="005640C6" w:rsidP="005640C6">
            <w:pPr>
              <w:pStyle w:val="BPIKKompetenzBeschreibung"/>
              <w:jc w:val="left"/>
            </w:pPr>
            <w:r w:rsidRPr="006C13C8">
              <w:t>Die Schülerinnen und Schüler setzen sich mit Architektur unter den Aspekten Gestalt, Funktion un</w:t>
            </w:r>
            <w:r w:rsidR="00B45818">
              <w:t>d Umgebung auseinander. Sie unterscheid</w:t>
            </w:r>
            <w:r w:rsidRPr="006C13C8">
              <w:t>en verschiedene Bau- und K</w:t>
            </w:r>
            <w:r w:rsidR="00B45818">
              <w:t>onstruktionsweisen</w:t>
            </w:r>
            <w:r w:rsidRPr="006C13C8">
              <w:t xml:space="preserve"> und verstehen</w:t>
            </w:r>
            <w:r w:rsidR="00B45818">
              <w:t xml:space="preserve"> diese</w:t>
            </w:r>
            <w:r w:rsidRPr="006C13C8">
              <w:t xml:space="preserve">. Die Schülerinnen und Schüler entwickeln eigene architektonische Ideen und setzen diese um. </w:t>
            </w:r>
            <w:r w:rsidRPr="005640C6">
              <w:t>Sie begreifen Architektur als wesentliches Element gestalteter Umwelt, tradierter Kultur und als historisches Erbe.</w:t>
            </w:r>
          </w:p>
          <w:p w14:paraId="697CF462" w14:textId="77777777" w:rsidR="00A8051F" w:rsidRDefault="005640C6" w:rsidP="00CB523C">
            <w:pPr>
              <w:spacing w:line="360" w:lineRule="auto"/>
              <w:rPr>
                <w:sz w:val="20"/>
                <w:szCs w:val="20"/>
              </w:rPr>
            </w:pPr>
            <w:r w:rsidRPr="005640C6">
              <w:rPr>
                <w:sz w:val="20"/>
                <w:szCs w:val="20"/>
              </w:rPr>
              <w:t>Die Schülerinnen und Schüler können</w:t>
            </w:r>
          </w:p>
          <w:p w14:paraId="79B84F74" w14:textId="77777777" w:rsidR="00BE0ABB" w:rsidRDefault="00BE0ABB" w:rsidP="005640C6">
            <w:pPr>
              <w:rPr>
                <w:sz w:val="20"/>
                <w:szCs w:val="20"/>
              </w:rPr>
            </w:pPr>
          </w:p>
          <w:p w14:paraId="2ECD1F03" w14:textId="77777777" w:rsidR="00BE0ABB" w:rsidRPr="005640C6" w:rsidRDefault="00BE0ABB" w:rsidP="005640C6">
            <w:pPr>
              <w:rPr>
                <w:sz w:val="20"/>
                <w:szCs w:val="20"/>
              </w:rPr>
            </w:pPr>
          </w:p>
        </w:tc>
        <w:tc>
          <w:tcPr>
            <w:tcW w:w="2185" w:type="dxa"/>
            <w:shd w:val="clear" w:color="auto" w:fill="B5CFEC"/>
          </w:tcPr>
          <w:p w14:paraId="0E2B71F6" w14:textId="77777777" w:rsidR="005640C6" w:rsidRPr="005640C6" w:rsidRDefault="005640C6" w:rsidP="005640C6">
            <w:pPr>
              <w:pStyle w:val="BPIKKompetenzBeschreibung"/>
              <w:jc w:val="left"/>
            </w:pPr>
            <w:r w:rsidRPr="00203DA3">
              <w:t>Die Schülerinnen und Schüler analysieren und entwickeln Medienprodukte und setzen diese als Gestaltungs- und Kommunikationsmittel ein. Sie gehen mit Bildmedien und Internet reflektiert um</w:t>
            </w:r>
            <w:r>
              <w:t xml:space="preserve"> </w:t>
            </w:r>
            <w:r w:rsidRPr="005640C6">
              <w:t>(Nutzungsrechte, Persönlichkeitsrechte, Urheberrechte).</w:t>
            </w:r>
          </w:p>
          <w:p w14:paraId="33BFA2DD" w14:textId="77777777" w:rsidR="005640C6" w:rsidRPr="008C44E4" w:rsidRDefault="005640C6" w:rsidP="005640C6">
            <w:pPr>
              <w:pStyle w:val="BPIKKompetenzBeschreibung"/>
              <w:jc w:val="left"/>
            </w:pPr>
            <w:r w:rsidRPr="00060DB9">
              <w:t>Die Schülerinnen und Schüler können</w:t>
            </w:r>
          </w:p>
          <w:p w14:paraId="59D7D079" w14:textId="77777777" w:rsidR="004A7CE3" w:rsidRPr="00B66F7F" w:rsidRDefault="004A7CE3" w:rsidP="005640C6">
            <w:pPr>
              <w:rPr>
                <w:sz w:val="20"/>
                <w:szCs w:val="20"/>
              </w:rPr>
            </w:pPr>
          </w:p>
        </w:tc>
        <w:tc>
          <w:tcPr>
            <w:tcW w:w="2301" w:type="dxa"/>
            <w:shd w:val="clear" w:color="auto" w:fill="C1ECB8"/>
          </w:tcPr>
          <w:p w14:paraId="4765AA24" w14:textId="77777777" w:rsidR="005640C6" w:rsidRPr="00203DA3" w:rsidRDefault="005640C6" w:rsidP="005640C6">
            <w:pPr>
              <w:pStyle w:val="BPIKKompetenzBeschreibung"/>
              <w:jc w:val="left"/>
            </w:pPr>
            <w:r w:rsidRPr="00203DA3">
              <w:t>Die Schülerinnen und Schüler erproben und entwickeln eigene Aktionsformen. Sie setzen sich dabei mit intermedialen Gestaltungsformen auseinander.</w:t>
            </w:r>
          </w:p>
          <w:p w14:paraId="223D0E68" w14:textId="77777777" w:rsidR="005640C6" w:rsidRPr="008C44E4" w:rsidRDefault="005640C6" w:rsidP="005640C6">
            <w:pPr>
              <w:pStyle w:val="BPIKKompetenzBeschreibung"/>
              <w:jc w:val="left"/>
            </w:pPr>
            <w:r w:rsidRPr="00060DB9">
              <w:t>Die Schülerinnen und Schüler können</w:t>
            </w:r>
          </w:p>
          <w:p w14:paraId="1B5E71C4" w14:textId="77777777" w:rsidR="004A7CE3" w:rsidRPr="00B66F7F" w:rsidRDefault="004A7CE3" w:rsidP="005640C6">
            <w:pPr>
              <w:rPr>
                <w:sz w:val="20"/>
                <w:szCs w:val="20"/>
              </w:rPr>
            </w:pPr>
          </w:p>
        </w:tc>
      </w:tr>
      <w:tr w:rsidR="005640C6" w14:paraId="625814FE" w14:textId="77777777" w:rsidTr="00BE0ABB">
        <w:trPr>
          <w:trHeight w:val="341"/>
        </w:trPr>
        <w:tc>
          <w:tcPr>
            <w:tcW w:w="2660" w:type="dxa"/>
            <w:shd w:val="clear" w:color="auto" w:fill="FAFFE8"/>
          </w:tcPr>
          <w:p w14:paraId="416F3CB0" w14:textId="77777777" w:rsidR="005640C6" w:rsidRPr="005640C6" w:rsidRDefault="005640C6" w:rsidP="005640C6">
            <w:r>
              <w:lastRenderedPageBreak/>
              <w:t xml:space="preserve">(1) </w:t>
            </w:r>
            <w:r w:rsidRPr="005640C6">
              <w:t>vielfältige grafische Mittel zur Organisation von Bildflächen gezielt oder experimentell anwenden</w:t>
            </w:r>
          </w:p>
        </w:tc>
        <w:tc>
          <w:tcPr>
            <w:tcW w:w="2485" w:type="dxa"/>
            <w:shd w:val="clear" w:color="auto" w:fill="FDE9D9" w:themeFill="accent6" w:themeFillTint="33"/>
          </w:tcPr>
          <w:p w14:paraId="637809F8" w14:textId="77777777" w:rsidR="005640C6" w:rsidRPr="005640C6" w:rsidRDefault="005640C6" w:rsidP="005640C6">
            <w:r>
              <w:t xml:space="preserve">(1) </w:t>
            </w:r>
            <w:r w:rsidRPr="005640C6">
              <w:t>Ordnungen, Funktionen und Wirkungen von Farbe erkennen und auf dieser Grundlage Farbmaterialien und Maltechniken erproben und für die eigene Bildidee anwenden</w:t>
            </w:r>
          </w:p>
        </w:tc>
        <w:tc>
          <w:tcPr>
            <w:tcW w:w="2334" w:type="dxa"/>
            <w:shd w:val="clear" w:color="auto" w:fill="FDD1D7"/>
          </w:tcPr>
          <w:p w14:paraId="0F236DBA" w14:textId="77777777" w:rsidR="005640C6" w:rsidRPr="005640C6" w:rsidRDefault="005640C6" w:rsidP="005640C6">
            <w:r>
              <w:t xml:space="preserve">(1) </w:t>
            </w:r>
            <w:r w:rsidRPr="005640C6">
              <w:t>ein Bewusstsein für die Qualität plastischer Form entwickeln</w:t>
            </w:r>
          </w:p>
        </w:tc>
        <w:tc>
          <w:tcPr>
            <w:tcW w:w="2520" w:type="dxa"/>
            <w:shd w:val="clear" w:color="auto" w:fill="E5DFEC" w:themeFill="accent4" w:themeFillTint="33"/>
          </w:tcPr>
          <w:p w14:paraId="5D352AFF" w14:textId="77777777" w:rsidR="005640C6" w:rsidRPr="005640C6" w:rsidRDefault="005640C6" w:rsidP="005640C6">
            <w:r>
              <w:t xml:space="preserve">(1) </w:t>
            </w:r>
            <w:r w:rsidRPr="005640C6">
              <w:t>architektonische Gestaltungsmittel erkennen, beurteilen und nutzen (zum Beispiel Baukörper, Fassade, Material</w:t>
            </w:r>
            <w:r w:rsidR="00B45818">
              <w:t>)</w:t>
            </w:r>
          </w:p>
        </w:tc>
        <w:tc>
          <w:tcPr>
            <w:tcW w:w="2185" w:type="dxa"/>
            <w:shd w:val="clear" w:color="auto" w:fill="C2D5EC"/>
          </w:tcPr>
          <w:p w14:paraId="5BBF5BD7" w14:textId="77777777" w:rsidR="005640C6" w:rsidRPr="005640C6" w:rsidRDefault="005640C6" w:rsidP="005640C6">
            <w:r w:rsidRPr="005640C6">
              <w:t>(1)  eigene visuelle Medienprodukte konzipieren, entwickeln und realisieren (zum Beispiel Bild- und Textkombination, Typografie, Layout, Werbung)</w:t>
            </w:r>
          </w:p>
        </w:tc>
        <w:tc>
          <w:tcPr>
            <w:tcW w:w="2301" w:type="dxa"/>
            <w:shd w:val="clear" w:color="auto" w:fill="D3ECD0"/>
          </w:tcPr>
          <w:p w14:paraId="573333D3" w14:textId="77777777" w:rsidR="005640C6" w:rsidRPr="005640C6" w:rsidRDefault="005640C6" w:rsidP="005640C6">
            <w:r>
              <w:t xml:space="preserve">(1) </w:t>
            </w:r>
            <w:r w:rsidR="00B45818">
              <w:t>intermediale</w:t>
            </w:r>
            <w:r w:rsidRPr="005640C6">
              <w:t xml:space="preserve"> Aktionsformen  reflektiert entwickeln (*)</w:t>
            </w:r>
          </w:p>
        </w:tc>
      </w:tr>
      <w:tr w:rsidR="005640C6" w14:paraId="2692E1AD" w14:textId="77777777" w:rsidTr="00BE0ABB">
        <w:trPr>
          <w:trHeight w:val="341"/>
        </w:trPr>
        <w:tc>
          <w:tcPr>
            <w:tcW w:w="2660" w:type="dxa"/>
            <w:shd w:val="clear" w:color="auto" w:fill="FAFFE8"/>
          </w:tcPr>
          <w:p w14:paraId="682A5154" w14:textId="77777777" w:rsidR="005640C6" w:rsidRPr="005640C6" w:rsidRDefault="005640C6" w:rsidP="005640C6">
            <w:r>
              <w:t xml:space="preserve">(2) </w:t>
            </w:r>
            <w:r w:rsidRPr="005640C6">
              <w:t>verschiedene grafische und perspektivische Mittel zur Steigerung der Raumwirkung  und Plastizität von Körpern einsetzen</w:t>
            </w:r>
          </w:p>
        </w:tc>
        <w:tc>
          <w:tcPr>
            <w:tcW w:w="2485" w:type="dxa"/>
            <w:shd w:val="clear" w:color="auto" w:fill="FDE9D9" w:themeFill="accent6" w:themeFillTint="33"/>
          </w:tcPr>
          <w:p w14:paraId="3A7EE36D" w14:textId="77777777" w:rsidR="005640C6" w:rsidRPr="005640C6" w:rsidRDefault="005640C6" w:rsidP="005640C6">
            <w:r>
              <w:t xml:space="preserve">(2) </w:t>
            </w:r>
            <w:r w:rsidRPr="005640C6">
              <w:t>die aus der experimentellen und forschenden Auseinandersetzung mit Farbe resultierenden Erkenntnisse für gegenständliche und ungegenständliche Darstellung nutzen</w:t>
            </w:r>
          </w:p>
        </w:tc>
        <w:tc>
          <w:tcPr>
            <w:tcW w:w="2334" w:type="dxa"/>
            <w:shd w:val="clear" w:color="auto" w:fill="FDD1D7"/>
          </w:tcPr>
          <w:p w14:paraId="30E79342" w14:textId="77777777" w:rsidR="005640C6" w:rsidRPr="005640C6" w:rsidRDefault="005640C6" w:rsidP="005640C6">
            <w:r>
              <w:t xml:space="preserve">(2) </w:t>
            </w:r>
            <w:r w:rsidRPr="005640C6">
              <w:t>plastische Form in Beziehung zum Raum setzen</w:t>
            </w:r>
          </w:p>
        </w:tc>
        <w:tc>
          <w:tcPr>
            <w:tcW w:w="2520" w:type="dxa"/>
            <w:shd w:val="clear" w:color="auto" w:fill="E5DFEC" w:themeFill="accent4" w:themeFillTint="33"/>
          </w:tcPr>
          <w:p w14:paraId="3F090978" w14:textId="77777777" w:rsidR="005640C6" w:rsidRPr="005640C6" w:rsidRDefault="005640C6" w:rsidP="005640C6">
            <w:r>
              <w:t xml:space="preserve">(2) </w:t>
            </w:r>
            <w:r w:rsidRPr="005640C6">
              <w:t>verschiedene Bau- und Konstruktionsweisen erkennen und diese in eigenen Entwürfen erproben</w:t>
            </w:r>
          </w:p>
        </w:tc>
        <w:tc>
          <w:tcPr>
            <w:tcW w:w="2185" w:type="dxa"/>
            <w:shd w:val="clear" w:color="auto" w:fill="C2D5EC"/>
          </w:tcPr>
          <w:p w14:paraId="58BD06CD" w14:textId="77777777" w:rsidR="005640C6" w:rsidRPr="005640C6" w:rsidRDefault="005640C6" w:rsidP="005640C6">
            <w:r>
              <w:t xml:space="preserve">(2) </w:t>
            </w:r>
            <w:r w:rsidRPr="005640C6">
              <w:t>das Internet bewusst und reflektiert als Informationsmedium nutzen (*)</w:t>
            </w:r>
          </w:p>
        </w:tc>
        <w:tc>
          <w:tcPr>
            <w:tcW w:w="2301" w:type="dxa"/>
            <w:shd w:val="clear" w:color="auto" w:fill="D3ECD0"/>
          </w:tcPr>
          <w:p w14:paraId="66BAC7E1" w14:textId="77777777" w:rsidR="005640C6" w:rsidRPr="005640C6" w:rsidRDefault="005640C6" w:rsidP="00B45818">
            <w:r>
              <w:t xml:space="preserve">(2) </w:t>
            </w:r>
            <w:r w:rsidRPr="005640C6">
              <w:t>sich performative und interaktive Kunstformen</w:t>
            </w:r>
            <w:r w:rsidR="00B45818">
              <w:t xml:space="preserve"> </w:t>
            </w:r>
            <w:r w:rsidR="00B45818" w:rsidRPr="005640C6">
              <w:t>erschließen</w:t>
            </w:r>
            <w:r w:rsidRPr="005640C6">
              <w:t xml:space="preserve"> (zum Beispiel Aktion, Happening, Performance, Urban-Art, Netzkunst) </w:t>
            </w:r>
          </w:p>
        </w:tc>
      </w:tr>
      <w:tr w:rsidR="005640C6" w14:paraId="4AD8B7B0" w14:textId="77777777" w:rsidTr="00BE0ABB">
        <w:trPr>
          <w:trHeight w:val="341"/>
        </w:trPr>
        <w:tc>
          <w:tcPr>
            <w:tcW w:w="2660" w:type="dxa"/>
            <w:shd w:val="clear" w:color="auto" w:fill="FAFFE8"/>
          </w:tcPr>
          <w:p w14:paraId="6BE862A4" w14:textId="77777777" w:rsidR="005640C6" w:rsidRPr="005640C6" w:rsidRDefault="005640C6" w:rsidP="005640C6">
            <w:r>
              <w:t xml:space="preserve">(3) </w:t>
            </w:r>
            <w:r w:rsidRPr="005640C6">
              <w:t>Gestaltungsmöglich</w:t>
            </w:r>
            <w:r>
              <w:t>-</w:t>
            </w:r>
            <w:proofErr w:type="spellStart"/>
            <w:r w:rsidRPr="005640C6">
              <w:t>keiten</w:t>
            </w:r>
            <w:proofErr w:type="spellEnd"/>
            <w:r w:rsidRPr="005640C6">
              <w:t xml:space="preserve"> von Druckverfahren nutzen</w:t>
            </w:r>
          </w:p>
        </w:tc>
        <w:tc>
          <w:tcPr>
            <w:tcW w:w="2485" w:type="dxa"/>
            <w:shd w:val="clear" w:color="auto" w:fill="FDE9D9" w:themeFill="accent6" w:themeFillTint="33"/>
          </w:tcPr>
          <w:p w14:paraId="4D1D21A4" w14:textId="77777777" w:rsidR="005640C6" w:rsidRPr="006E5004" w:rsidRDefault="005640C6" w:rsidP="005640C6">
            <w:pPr>
              <w:pStyle w:val="BPVerweisFach"/>
              <w:numPr>
                <w:ilvl w:val="0"/>
                <w:numId w:val="0"/>
              </w:numPr>
              <w:ind w:left="851"/>
            </w:pPr>
          </w:p>
        </w:tc>
        <w:tc>
          <w:tcPr>
            <w:tcW w:w="2334" w:type="dxa"/>
            <w:shd w:val="clear" w:color="auto" w:fill="FDD1D7"/>
          </w:tcPr>
          <w:p w14:paraId="71A0785A" w14:textId="77777777" w:rsidR="005640C6" w:rsidRPr="005640C6" w:rsidRDefault="005640C6" w:rsidP="005640C6">
            <w:r>
              <w:t xml:space="preserve">(3) </w:t>
            </w:r>
            <w:r w:rsidRPr="005640C6">
              <w:t>Gebrauchsgegen</w:t>
            </w:r>
            <w:r>
              <w:t>-</w:t>
            </w:r>
            <w:r w:rsidRPr="005640C6">
              <w:t>stände hinsichtlich Funktion und Form exemplarisch von der Idee bis zum Modell entwickeln (*)</w:t>
            </w:r>
          </w:p>
        </w:tc>
        <w:tc>
          <w:tcPr>
            <w:tcW w:w="2520" w:type="dxa"/>
            <w:shd w:val="clear" w:color="auto" w:fill="E5DFEC" w:themeFill="accent4" w:themeFillTint="33"/>
          </w:tcPr>
          <w:p w14:paraId="3436047D" w14:textId="77777777" w:rsidR="005640C6" w:rsidRPr="005640C6" w:rsidRDefault="005640C6" w:rsidP="005640C6">
            <w:r>
              <w:t xml:space="preserve">(3) </w:t>
            </w:r>
            <w:r w:rsidRPr="005640C6">
              <w:t>Verfahren zur Darstellung und Entwicklung eigener Ideen und Visionen nutzen und diese realisieren (zum Beispiel Skizze, Plan, Modell)</w:t>
            </w:r>
          </w:p>
        </w:tc>
        <w:tc>
          <w:tcPr>
            <w:tcW w:w="2185" w:type="dxa"/>
            <w:shd w:val="clear" w:color="auto" w:fill="C2D5EC"/>
          </w:tcPr>
          <w:p w14:paraId="1757098D" w14:textId="77777777" w:rsidR="005640C6" w:rsidRPr="006E5004" w:rsidRDefault="005640C6" w:rsidP="005640C6">
            <w:pPr>
              <w:pStyle w:val="BPVerweisLeitprinzip"/>
              <w:numPr>
                <w:ilvl w:val="0"/>
                <w:numId w:val="0"/>
              </w:numPr>
              <w:ind w:left="851"/>
            </w:pPr>
          </w:p>
        </w:tc>
        <w:tc>
          <w:tcPr>
            <w:tcW w:w="2301" w:type="dxa"/>
            <w:shd w:val="clear" w:color="auto" w:fill="D3ECD0"/>
          </w:tcPr>
          <w:p w14:paraId="01162D69" w14:textId="77777777" w:rsidR="005640C6" w:rsidRPr="006E5004" w:rsidRDefault="005640C6" w:rsidP="005640C6">
            <w:pPr>
              <w:pStyle w:val="BPVerweisLeitprinzip"/>
              <w:numPr>
                <w:ilvl w:val="0"/>
                <w:numId w:val="0"/>
              </w:numPr>
              <w:ind w:left="851"/>
            </w:pPr>
          </w:p>
        </w:tc>
      </w:tr>
      <w:tr w:rsidR="005640C6" w14:paraId="2B690784" w14:textId="77777777" w:rsidTr="00BE0ABB">
        <w:trPr>
          <w:trHeight w:val="341"/>
        </w:trPr>
        <w:tc>
          <w:tcPr>
            <w:tcW w:w="2660" w:type="dxa"/>
            <w:shd w:val="clear" w:color="auto" w:fill="FAFFE8"/>
          </w:tcPr>
          <w:p w14:paraId="770BAAA9" w14:textId="77777777" w:rsidR="005640C6" w:rsidRPr="006E5004" w:rsidRDefault="005640C6" w:rsidP="005640C6">
            <w:pPr>
              <w:pStyle w:val="BPVerweisFach"/>
              <w:numPr>
                <w:ilvl w:val="0"/>
                <w:numId w:val="0"/>
              </w:numPr>
              <w:ind w:left="851"/>
            </w:pPr>
          </w:p>
        </w:tc>
        <w:tc>
          <w:tcPr>
            <w:tcW w:w="2485" w:type="dxa"/>
            <w:shd w:val="clear" w:color="auto" w:fill="FDE9D9" w:themeFill="accent6" w:themeFillTint="33"/>
          </w:tcPr>
          <w:p w14:paraId="159F04E4" w14:textId="77777777" w:rsidR="005640C6" w:rsidRPr="00B66F7F" w:rsidRDefault="005640C6" w:rsidP="005640C6"/>
        </w:tc>
        <w:tc>
          <w:tcPr>
            <w:tcW w:w="2334" w:type="dxa"/>
            <w:shd w:val="clear" w:color="auto" w:fill="FDD1D7"/>
          </w:tcPr>
          <w:p w14:paraId="108B5D19" w14:textId="77777777" w:rsidR="005640C6" w:rsidRPr="006E5004" w:rsidRDefault="005640C6" w:rsidP="005640C6">
            <w:pPr>
              <w:pStyle w:val="BPVerweisLeitprinzip"/>
              <w:numPr>
                <w:ilvl w:val="0"/>
                <w:numId w:val="0"/>
              </w:numPr>
              <w:ind w:left="851"/>
            </w:pPr>
          </w:p>
        </w:tc>
        <w:tc>
          <w:tcPr>
            <w:tcW w:w="2520" w:type="dxa"/>
            <w:shd w:val="clear" w:color="auto" w:fill="E5DFEC" w:themeFill="accent4" w:themeFillTint="33"/>
          </w:tcPr>
          <w:p w14:paraId="4D7F3962" w14:textId="77777777" w:rsidR="005640C6" w:rsidRPr="005640C6" w:rsidRDefault="005640C6" w:rsidP="005640C6">
            <w:r>
              <w:t xml:space="preserve">(4) </w:t>
            </w:r>
            <w:r w:rsidRPr="005640C6">
              <w:t>die Wechselwirkung zwischen Bauwerk, Bauensemble und Umraum erkennen sowie Baukörper und Raum auf ihre Beziehung hin untersuchen (zum Beispiel Einzelgebäude, Baukomplex, Stadtentwicklung, Denkmalpflege, Landschaft, Umwelt, Ökologie)</w:t>
            </w:r>
          </w:p>
        </w:tc>
        <w:tc>
          <w:tcPr>
            <w:tcW w:w="2185" w:type="dxa"/>
            <w:shd w:val="clear" w:color="auto" w:fill="C2D5EC"/>
          </w:tcPr>
          <w:p w14:paraId="24C95260" w14:textId="77777777" w:rsidR="005640C6" w:rsidRPr="00B66F7F" w:rsidRDefault="005640C6" w:rsidP="005640C6"/>
        </w:tc>
        <w:tc>
          <w:tcPr>
            <w:tcW w:w="2301" w:type="dxa"/>
            <w:shd w:val="clear" w:color="auto" w:fill="D3ECD0"/>
          </w:tcPr>
          <w:p w14:paraId="5A69E452" w14:textId="77777777" w:rsidR="005640C6" w:rsidRPr="00B66F7F" w:rsidRDefault="005640C6" w:rsidP="005640C6"/>
        </w:tc>
      </w:tr>
      <w:tr w:rsidR="005640C6" w14:paraId="7B924564" w14:textId="77777777" w:rsidTr="00BE0ABB">
        <w:trPr>
          <w:trHeight w:val="341"/>
        </w:trPr>
        <w:tc>
          <w:tcPr>
            <w:tcW w:w="2660" w:type="dxa"/>
            <w:shd w:val="clear" w:color="auto" w:fill="FAFFE8"/>
          </w:tcPr>
          <w:p w14:paraId="775211BD" w14:textId="77777777" w:rsidR="005640C6" w:rsidRPr="00B66F7F" w:rsidRDefault="005640C6" w:rsidP="005640C6">
            <w:pPr>
              <w:pStyle w:val="BPVerweisFach"/>
            </w:pPr>
            <w:r>
              <w:t>Deutsch: 3.3.1.3 Medien</w:t>
            </w:r>
          </w:p>
        </w:tc>
        <w:tc>
          <w:tcPr>
            <w:tcW w:w="2485" w:type="dxa"/>
            <w:shd w:val="clear" w:color="auto" w:fill="FDE9D9" w:themeFill="accent6" w:themeFillTint="33"/>
          </w:tcPr>
          <w:p w14:paraId="227F881B" w14:textId="77777777" w:rsidR="005640C6" w:rsidRDefault="005640C6" w:rsidP="005640C6">
            <w:pPr>
              <w:pStyle w:val="BPVerweisFach"/>
            </w:pPr>
            <w:r>
              <w:t>Biologie: 3.3.1.1 Informationssysteme</w:t>
            </w:r>
          </w:p>
          <w:p w14:paraId="119544CF" w14:textId="77777777" w:rsidR="005640C6" w:rsidRPr="00B66F7F" w:rsidRDefault="005640C6" w:rsidP="005640C6"/>
        </w:tc>
        <w:tc>
          <w:tcPr>
            <w:tcW w:w="2334" w:type="dxa"/>
            <w:shd w:val="clear" w:color="auto" w:fill="FDD1D7"/>
          </w:tcPr>
          <w:p w14:paraId="267D7A3D" w14:textId="77777777" w:rsidR="005640C6" w:rsidRPr="00B66F7F" w:rsidRDefault="005640C6" w:rsidP="005640C6">
            <w:pPr>
              <w:pStyle w:val="BPVerweisLeitprinzip"/>
            </w:pPr>
            <w:r>
              <w:t>VB</w:t>
            </w:r>
            <w:r>
              <w:tab/>
              <w:t>Qualität Konsumgüter</w:t>
            </w:r>
          </w:p>
        </w:tc>
        <w:tc>
          <w:tcPr>
            <w:tcW w:w="2520" w:type="dxa"/>
            <w:shd w:val="clear" w:color="auto" w:fill="E5DFEC" w:themeFill="accent4" w:themeFillTint="33"/>
          </w:tcPr>
          <w:p w14:paraId="36C7431D" w14:textId="77777777" w:rsidR="005640C6" w:rsidRDefault="005640C6" w:rsidP="005640C6">
            <w:pPr>
              <w:pStyle w:val="BPVerweisFach"/>
            </w:pPr>
            <w:r>
              <w:t>Kath. Religion: 3.3.6 Kirche</w:t>
            </w:r>
          </w:p>
          <w:p w14:paraId="156677EB" w14:textId="77777777" w:rsidR="005640C6" w:rsidRDefault="005640C6" w:rsidP="005640C6">
            <w:pPr>
              <w:pStyle w:val="BPVerweisLeitprinzip"/>
            </w:pPr>
            <w:r>
              <w:t>BNE</w:t>
            </w:r>
          </w:p>
          <w:p w14:paraId="171337AF" w14:textId="77777777" w:rsidR="005640C6" w:rsidRPr="006E5004" w:rsidRDefault="005640C6" w:rsidP="005640C6">
            <w:pPr>
              <w:pStyle w:val="BPVerweisLeitprinzip"/>
            </w:pPr>
            <w:r>
              <w:t xml:space="preserve">BO </w:t>
            </w:r>
            <w:r>
              <w:tab/>
              <w:t>Fachspezifische und handlungsorientierte Zugänge zur Arbeits- und Berufswelt</w:t>
            </w:r>
          </w:p>
        </w:tc>
        <w:tc>
          <w:tcPr>
            <w:tcW w:w="2185" w:type="dxa"/>
            <w:shd w:val="clear" w:color="auto" w:fill="C2D5EC"/>
          </w:tcPr>
          <w:p w14:paraId="574BE8B9" w14:textId="77777777" w:rsidR="005640C6" w:rsidRDefault="005640C6" w:rsidP="005640C6">
            <w:pPr>
              <w:pStyle w:val="BPVerweisFach"/>
            </w:pPr>
            <w:r>
              <w:t>Deutsch: 3.3.1.2 Sach- und Gebrauchstexte</w:t>
            </w:r>
          </w:p>
          <w:p w14:paraId="162BEB3C" w14:textId="77777777" w:rsidR="005640C6" w:rsidRDefault="005640C6" w:rsidP="005640C6">
            <w:pPr>
              <w:pStyle w:val="BPVerweisFach"/>
            </w:pPr>
            <w:r>
              <w:t>Musik: 3.3.1 Musik gestalten und erleben</w:t>
            </w:r>
          </w:p>
          <w:p w14:paraId="2DEC1119" w14:textId="77777777" w:rsidR="005640C6" w:rsidRDefault="00B45818" w:rsidP="005640C6">
            <w:pPr>
              <w:pStyle w:val="BPVerweisLeitprinzip"/>
            </w:pPr>
            <w:r>
              <w:t xml:space="preserve">BO  </w:t>
            </w:r>
            <w:r w:rsidR="005640C6">
              <w:t>Fachspezifische und handlungsorientierte Zugänge zur Arbeits- und Berufswelt</w:t>
            </w:r>
          </w:p>
          <w:p w14:paraId="5458BDAE" w14:textId="77777777" w:rsidR="005640C6" w:rsidRDefault="005640C6" w:rsidP="005640C6">
            <w:pPr>
              <w:pStyle w:val="BPVerweisLeitprinzip"/>
            </w:pPr>
            <w:r>
              <w:t>MB</w:t>
            </w:r>
          </w:p>
          <w:p w14:paraId="6B718EA1" w14:textId="77777777" w:rsidR="005640C6" w:rsidRPr="00B66F7F" w:rsidRDefault="005640C6" w:rsidP="005640C6">
            <w:pPr>
              <w:pStyle w:val="BPVerweisLeitprinzip"/>
            </w:pPr>
            <w:r>
              <w:t>VB</w:t>
            </w:r>
            <w:r>
              <w:tab/>
              <w:t>Medien als Einflussfaktoren</w:t>
            </w:r>
          </w:p>
        </w:tc>
        <w:tc>
          <w:tcPr>
            <w:tcW w:w="2301" w:type="dxa"/>
            <w:shd w:val="clear" w:color="auto" w:fill="D3ECD0"/>
          </w:tcPr>
          <w:p w14:paraId="7E79AF32" w14:textId="77777777" w:rsidR="005640C6" w:rsidRDefault="005640C6" w:rsidP="00566F24">
            <w:pPr>
              <w:pStyle w:val="BPVerweisFach"/>
            </w:pPr>
            <w:r>
              <w:t>Deutsch: 3.3.1.1 Literarische Texte</w:t>
            </w:r>
          </w:p>
          <w:p w14:paraId="1D4302FC" w14:textId="77777777" w:rsidR="005640C6" w:rsidRDefault="005640C6" w:rsidP="00566F24">
            <w:pPr>
              <w:pStyle w:val="BPVerweisFach"/>
            </w:pPr>
            <w:r>
              <w:t>Musik: 3.3.1 Musik gestalten und erleben</w:t>
            </w:r>
          </w:p>
          <w:p w14:paraId="2ED62DBA" w14:textId="77777777" w:rsidR="00B45818" w:rsidRDefault="00B45818" w:rsidP="00B45818">
            <w:pPr>
              <w:pStyle w:val="BPVerweisLeitprinzip"/>
            </w:pPr>
            <w:r>
              <w:t>MB  Produktion und Präsentation</w:t>
            </w:r>
          </w:p>
          <w:p w14:paraId="69A50A8A" w14:textId="77777777" w:rsidR="005640C6" w:rsidRPr="00B66F7F" w:rsidRDefault="005640C6" w:rsidP="005640C6"/>
        </w:tc>
      </w:tr>
      <w:bookmarkEnd w:id="0"/>
    </w:tbl>
    <w:p w14:paraId="357D17CC" w14:textId="77777777" w:rsidR="004A7CE3" w:rsidRDefault="004A7CE3"/>
    <w:p w14:paraId="1B06BA5D" w14:textId="77777777" w:rsidR="00B66F7F" w:rsidRDefault="00B66F7F"/>
    <w:p w14:paraId="6C283FAC" w14:textId="77777777" w:rsidR="00566F24" w:rsidRDefault="00566F24"/>
    <w:p w14:paraId="5F1FAB09" w14:textId="77777777" w:rsidR="00BE0ABB" w:rsidRDefault="00BE0ABB"/>
    <w:p w14:paraId="5CF1545B" w14:textId="77777777" w:rsidR="00BE0ABB" w:rsidRDefault="00BE0ABB"/>
    <w:p w14:paraId="313E09F7" w14:textId="77777777" w:rsidR="004635E1" w:rsidRDefault="004635E1"/>
    <w:p w14:paraId="34111994" w14:textId="77777777" w:rsidR="00566F24" w:rsidRDefault="00566F24"/>
    <w:tbl>
      <w:tblPr>
        <w:tblStyle w:val="Tabellenraster"/>
        <w:tblW w:w="0" w:type="auto"/>
        <w:tblLook w:val="04A0" w:firstRow="1" w:lastRow="0" w:firstColumn="1" w:lastColumn="0" w:noHBand="0" w:noVBand="1"/>
      </w:tblPr>
      <w:tblGrid>
        <w:gridCol w:w="14409"/>
      </w:tblGrid>
      <w:tr w:rsidR="00B66F7F" w14:paraId="51BAD8A0" w14:textId="77777777" w:rsidTr="00932A0D">
        <w:tc>
          <w:tcPr>
            <w:tcW w:w="14409" w:type="dxa"/>
            <w:shd w:val="clear" w:color="auto" w:fill="A6A6A6" w:themeFill="background1" w:themeFillShade="A6"/>
          </w:tcPr>
          <w:p w14:paraId="0F0F1C3C" w14:textId="77777777" w:rsidR="00B66F7F" w:rsidRDefault="00B66F7F">
            <w:r>
              <w:t>BILD</w:t>
            </w:r>
          </w:p>
        </w:tc>
      </w:tr>
      <w:tr w:rsidR="00B66F7F" w14:paraId="49B5F5F8" w14:textId="77777777" w:rsidTr="00B66F7F">
        <w:tc>
          <w:tcPr>
            <w:tcW w:w="14409" w:type="dxa"/>
            <w:shd w:val="clear" w:color="auto" w:fill="D9D9D9" w:themeFill="background1" w:themeFillShade="D9"/>
          </w:tcPr>
          <w:p w14:paraId="08156020" w14:textId="77777777" w:rsidR="00566F24" w:rsidRPr="00203BF4" w:rsidRDefault="00566F24" w:rsidP="00566F24">
            <w:pPr>
              <w:pStyle w:val="BPIKKompetenzBeschreibung"/>
            </w:pPr>
            <w:r w:rsidRPr="00203BF4">
              <w:t>D</w:t>
            </w:r>
            <w:r w:rsidR="00485F59">
              <w:t>ie Schülerinnen und Schüler nehm</w:t>
            </w:r>
            <w:r w:rsidRPr="00203BF4">
              <w:t>en Bilder umfass</w:t>
            </w:r>
            <w:r w:rsidR="00485F59">
              <w:t>end und differenziert wahr</w:t>
            </w:r>
            <w:r w:rsidRPr="00203BF4">
              <w:t>, untersuchen und interp</w:t>
            </w:r>
            <w:r>
              <w:t>retieren</w:t>
            </w:r>
            <w:r w:rsidR="00485F59">
              <w:t xml:space="preserve"> diese</w:t>
            </w:r>
            <w:r>
              <w:t xml:space="preserve">. Sie setzen diese mit </w:t>
            </w:r>
            <w:r w:rsidRPr="00203BF4">
              <w:t>eigenen Erfahrungen und dem eigenem Gestalten in Beziehung</w:t>
            </w:r>
            <w:r>
              <w:t xml:space="preserve"> </w:t>
            </w:r>
            <w:r w:rsidRPr="003C294E">
              <w:t>und verknüpfen die reflektierende Wahrnehmung mit dem produktiven Schaffensprozess. Ihre Erkenntn</w:t>
            </w:r>
            <w:r>
              <w:t>isse zu Bildern kommunizieren,</w:t>
            </w:r>
            <w:r w:rsidRPr="00203BF4">
              <w:t xml:space="preserve"> diskutieren und präsentieren sie. Sie reflektieren die Rolle der Kunst und nutzen entsprechende Orte der Bildrezeption.</w:t>
            </w:r>
          </w:p>
          <w:p w14:paraId="3715519D" w14:textId="77777777" w:rsidR="00566F24" w:rsidRPr="008C44E4" w:rsidRDefault="00566F24" w:rsidP="00566F24">
            <w:pPr>
              <w:pStyle w:val="BPIKKompetenzBeschreibung"/>
            </w:pPr>
            <w:r w:rsidRPr="00060DB9">
              <w:t>Die Schülerinnen und Schüler können</w:t>
            </w:r>
          </w:p>
          <w:p w14:paraId="47E8D165" w14:textId="77777777" w:rsidR="00B66F7F" w:rsidRDefault="00B66F7F" w:rsidP="00B66F7F">
            <w:pPr>
              <w:pStyle w:val="BPIKKompetenzBeschreibung"/>
              <w:jc w:val="left"/>
            </w:pPr>
          </w:p>
        </w:tc>
      </w:tr>
      <w:tr w:rsidR="00566F24" w14:paraId="6932FA81" w14:textId="77777777" w:rsidTr="00A8051F">
        <w:tc>
          <w:tcPr>
            <w:tcW w:w="14409" w:type="dxa"/>
            <w:shd w:val="clear" w:color="auto" w:fill="F2F2F2" w:themeFill="background1" w:themeFillShade="F2"/>
          </w:tcPr>
          <w:p w14:paraId="64AA029C" w14:textId="77777777" w:rsidR="00566F24" w:rsidRPr="007F379E" w:rsidRDefault="00566F24" w:rsidP="00566F24">
            <w:pPr>
              <w:pStyle w:val="BPIKTeilkompetenzBeschreibung"/>
              <w:numPr>
                <w:ilvl w:val="0"/>
                <w:numId w:val="2"/>
              </w:numPr>
            </w:pPr>
            <w:r w:rsidRPr="007F379E">
              <w:t>Bilder wahrnehmen und mit geeigneten Mitteln strukturiert beschreiben</w:t>
            </w:r>
          </w:p>
        </w:tc>
      </w:tr>
      <w:tr w:rsidR="00566F24" w14:paraId="001955FD" w14:textId="77777777" w:rsidTr="00A8051F">
        <w:tc>
          <w:tcPr>
            <w:tcW w:w="14409" w:type="dxa"/>
            <w:shd w:val="clear" w:color="auto" w:fill="F2F2F2" w:themeFill="background1" w:themeFillShade="F2"/>
          </w:tcPr>
          <w:p w14:paraId="63C10CEA" w14:textId="77777777" w:rsidR="00566F24" w:rsidRPr="007F379E" w:rsidRDefault="00566F24" w:rsidP="00A36DE1">
            <w:pPr>
              <w:pStyle w:val="BPIKTeilkompetenzBeschreibung"/>
            </w:pPr>
            <w:r w:rsidRPr="007F379E">
              <w:t>Bilder verbal und non-verbal analysieren und kommentieren</w:t>
            </w:r>
          </w:p>
        </w:tc>
      </w:tr>
      <w:tr w:rsidR="00566F24" w14:paraId="2F71F02B" w14:textId="77777777" w:rsidTr="00A8051F">
        <w:tc>
          <w:tcPr>
            <w:tcW w:w="14409" w:type="dxa"/>
            <w:shd w:val="clear" w:color="auto" w:fill="F2F2F2" w:themeFill="background1" w:themeFillShade="F2"/>
          </w:tcPr>
          <w:p w14:paraId="67046A61" w14:textId="77777777" w:rsidR="00566F24" w:rsidRPr="007F379E" w:rsidRDefault="00566F24" w:rsidP="00485F59">
            <w:pPr>
              <w:pStyle w:val="BPIKTeilkompetenzBeschreibung"/>
            </w:pPr>
            <w:r w:rsidRPr="007F379E">
              <w:t xml:space="preserve">Bilder differenziert </w:t>
            </w:r>
            <w:r w:rsidR="00485F59" w:rsidRPr="007F379E">
              <w:t xml:space="preserve">erschließen </w:t>
            </w:r>
            <w:r w:rsidRPr="007F379E">
              <w:t xml:space="preserve">(formal, thematisch, motivisch) </w:t>
            </w:r>
            <w:r>
              <w:t>(*)</w:t>
            </w:r>
          </w:p>
        </w:tc>
      </w:tr>
      <w:tr w:rsidR="00566F24" w14:paraId="3D0D8DDC" w14:textId="77777777" w:rsidTr="00A8051F">
        <w:tc>
          <w:tcPr>
            <w:tcW w:w="14409" w:type="dxa"/>
            <w:shd w:val="clear" w:color="auto" w:fill="F2F2F2" w:themeFill="background1" w:themeFillShade="F2"/>
          </w:tcPr>
          <w:p w14:paraId="41177C6F" w14:textId="77777777" w:rsidR="00566F24" w:rsidRPr="007F379E" w:rsidRDefault="00566F24" w:rsidP="00A36DE1">
            <w:pPr>
              <w:pStyle w:val="BPIKTeilkompetenzBeschreibung"/>
            </w:pPr>
            <w:r w:rsidRPr="007F379E">
              <w:t>Bilder charakterisieren, interpretieren und beurteilen</w:t>
            </w:r>
          </w:p>
        </w:tc>
      </w:tr>
      <w:tr w:rsidR="00566F24" w14:paraId="6938E78A" w14:textId="77777777" w:rsidTr="00A8051F">
        <w:tc>
          <w:tcPr>
            <w:tcW w:w="14409" w:type="dxa"/>
            <w:shd w:val="clear" w:color="auto" w:fill="F2F2F2" w:themeFill="background1" w:themeFillShade="F2"/>
          </w:tcPr>
          <w:p w14:paraId="4C07FB1A" w14:textId="77777777" w:rsidR="00566F24" w:rsidRPr="007F379E" w:rsidRDefault="00566F24" w:rsidP="00A36DE1">
            <w:pPr>
              <w:pStyle w:val="BPIKTeilkompetenzBeschreibung"/>
            </w:pPr>
            <w:r w:rsidRPr="007F379E">
              <w:t>Bilder in Beziehung zur Produktion und im Wechselspiel mit dem eigenen Tun untersuchen und dabei die enge Verb</w:t>
            </w:r>
            <w:r>
              <w:t>indung von Erleben und Schaffen</w:t>
            </w:r>
            <w:r w:rsidRPr="007F379E">
              <w:t xml:space="preserve"> erkennen und differenziert reflektieren</w:t>
            </w:r>
          </w:p>
        </w:tc>
      </w:tr>
      <w:tr w:rsidR="00566F24" w14:paraId="6C294F07" w14:textId="77777777" w:rsidTr="00A8051F">
        <w:tc>
          <w:tcPr>
            <w:tcW w:w="14409" w:type="dxa"/>
            <w:shd w:val="clear" w:color="auto" w:fill="F2F2F2" w:themeFill="background1" w:themeFillShade="F2"/>
          </w:tcPr>
          <w:p w14:paraId="471783D5" w14:textId="77777777" w:rsidR="00566F24" w:rsidRPr="007F379E" w:rsidRDefault="00566F24" w:rsidP="00A36DE1">
            <w:pPr>
              <w:pStyle w:val="BPIKTeilkompetenzBeschreibung"/>
            </w:pPr>
            <w:r w:rsidRPr="007F379E">
              <w:t xml:space="preserve">Bezüge zu kunsthistorischen, kulturellen, zeit- und </w:t>
            </w:r>
            <w:proofErr w:type="spellStart"/>
            <w:r w:rsidRPr="007F379E">
              <w:t>betrachterbezogenen</w:t>
            </w:r>
            <w:proofErr w:type="spellEnd"/>
            <w:r w:rsidRPr="007F379E">
              <w:t xml:space="preserve"> Bedingungen untersuchen und reflektieren</w:t>
            </w:r>
          </w:p>
        </w:tc>
      </w:tr>
      <w:tr w:rsidR="00566F24" w14:paraId="60C2803C" w14:textId="77777777" w:rsidTr="00A8051F">
        <w:tc>
          <w:tcPr>
            <w:tcW w:w="14409" w:type="dxa"/>
            <w:shd w:val="clear" w:color="auto" w:fill="F2F2F2" w:themeFill="background1" w:themeFillShade="F2"/>
          </w:tcPr>
          <w:p w14:paraId="07C9B8C8" w14:textId="77777777" w:rsidR="00566F24" w:rsidRPr="007F379E" w:rsidRDefault="00566F24" w:rsidP="00A36DE1">
            <w:pPr>
              <w:pStyle w:val="BPIKTeilkompetenzBeschreibung"/>
            </w:pPr>
            <w:r w:rsidRPr="007F379E">
              <w:t>Erfahrungen mit Bildern und mit eigenen Arbeitsprozessen reflektieren und in geeigneter Form darstellen und präsentieren</w:t>
            </w:r>
            <w:r>
              <w:t xml:space="preserve"> </w:t>
            </w:r>
            <w:r w:rsidRPr="007F379E">
              <w:t>(mündlich, schriftlich, gestalterisch oder performativ)</w:t>
            </w:r>
          </w:p>
        </w:tc>
      </w:tr>
      <w:tr w:rsidR="00566F24" w14:paraId="432BE341" w14:textId="77777777" w:rsidTr="00A8051F">
        <w:tc>
          <w:tcPr>
            <w:tcW w:w="14409" w:type="dxa"/>
            <w:shd w:val="clear" w:color="auto" w:fill="F2F2F2" w:themeFill="background1" w:themeFillShade="F2"/>
          </w:tcPr>
          <w:p w14:paraId="20BE64C0" w14:textId="77777777" w:rsidR="00566F24" w:rsidRPr="007F379E" w:rsidRDefault="00566F24" w:rsidP="00A36DE1">
            <w:pPr>
              <w:pStyle w:val="BPIKTeilkompetenzBeschreibung"/>
            </w:pPr>
            <w:r w:rsidRPr="007F379E">
              <w:t>Orte und Medien für die Auseinandersetzung m</w:t>
            </w:r>
            <w:r>
              <w:t>it Bildern gezielt</w:t>
            </w:r>
            <w:r w:rsidRPr="007F379E">
              <w:t xml:space="preserve"> nutzen</w:t>
            </w:r>
          </w:p>
        </w:tc>
      </w:tr>
      <w:tr w:rsidR="00566F24" w14:paraId="51C6E4C5" w14:textId="77777777" w:rsidTr="00A8051F">
        <w:tc>
          <w:tcPr>
            <w:tcW w:w="14409" w:type="dxa"/>
            <w:shd w:val="clear" w:color="auto" w:fill="F2F2F2" w:themeFill="background1" w:themeFillShade="F2"/>
          </w:tcPr>
          <w:p w14:paraId="05BA15B9" w14:textId="77777777" w:rsidR="00566F24" w:rsidRDefault="00566F24" w:rsidP="00566F24">
            <w:pPr>
              <w:pStyle w:val="BPVerweisFach"/>
            </w:pPr>
            <w:r>
              <w:t>Deutsch: 3.3.1.3 Medien</w:t>
            </w:r>
          </w:p>
          <w:p w14:paraId="4EE01D44" w14:textId="77777777" w:rsidR="00485F59" w:rsidRDefault="00485F59" w:rsidP="00485F59">
            <w:pPr>
              <w:pStyle w:val="BPVerweisFach"/>
            </w:pPr>
            <w:r>
              <w:t>Ev. Religion: 3.3.3 Bibel</w:t>
            </w:r>
          </w:p>
          <w:p w14:paraId="06CFA95A" w14:textId="77777777" w:rsidR="00566F24" w:rsidRDefault="00566F24" w:rsidP="00566F24">
            <w:pPr>
              <w:pStyle w:val="BPVerweisFach"/>
            </w:pPr>
            <w:r>
              <w:t>Kath. Religion: 3.3.3 Bibel, 3.3.5 Jesus Christus, 3.3.6 Kirche</w:t>
            </w:r>
          </w:p>
          <w:p w14:paraId="67A08788" w14:textId="77777777" w:rsidR="00485F59" w:rsidRDefault="00485F59" w:rsidP="00485F59">
            <w:pPr>
              <w:pStyle w:val="BPVerweisFach"/>
            </w:pPr>
            <w:r>
              <w:t>Musik: 3.3.3 Musik reflektieren</w:t>
            </w:r>
          </w:p>
          <w:p w14:paraId="147C6232" w14:textId="77777777" w:rsidR="00566F24" w:rsidRDefault="00566F24" w:rsidP="00566F24">
            <w:pPr>
              <w:pStyle w:val="BPVerweisLeitprinzip"/>
            </w:pPr>
            <w:r>
              <w:t>BNE</w:t>
            </w:r>
            <w:r>
              <w:tab/>
              <w:t>Werte und Normen in Entscheidungssituationen</w:t>
            </w:r>
          </w:p>
          <w:p w14:paraId="02CFE053" w14:textId="77777777" w:rsidR="00566F24" w:rsidRDefault="00566F24" w:rsidP="00566F24">
            <w:pPr>
              <w:pStyle w:val="BPVerweisLeitprinzip"/>
            </w:pPr>
            <w:r>
              <w:t>BTV</w:t>
            </w:r>
            <w:r>
              <w:tab/>
              <w:t>Selbstfindung und Akzeptanz anderer Lebensformen</w:t>
            </w:r>
          </w:p>
          <w:p w14:paraId="7BDD808D" w14:textId="77777777" w:rsidR="00566F24" w:rsidRDefault="00566F24" w:rsidP="00566F24">
            <w:pPr>
              <w:pStyle w:val="BPVerweisLeitprinzip"/>
            </w:pPr>
            <w:r>
              <w:t>MB</w:t>
            </w:r>
            <w:r>
              <w:tab/>
              <w:t>Medienanalyse</w:t>
            </w:r>
          </w:p>
          <w:p w14:paraId="7B99AE76" w14:textId="77777777" w:rsidR="00566F24" w:rsidRPr="007F379E" w:rsidRDefault="00566F24" w:rsidP="00566F24">
            <w:pPr>
              <w:pStyle w:val="BPVerweisLeitprinzip"/>
            </w:pPr>
            <w:r>
              <w:t>VB</w:t>
            </w:r>
            <w:r>
              <w:tab/>
              <w:t>Bedürfnisse und Wünsche</w:t>
            </w:r>
          </w:p>
        </w:tc>
      </w:tr>
    </w:tbl>
    <w:p w14:paraId="564335CD" w14:textId="77777777" w:rsidR="00B66F7F" w:rsidRDefault="00B66F7F"/>
    <w:sectPr w:rsidR="00B66F7F" w:rsidSect="004A7CE3">
      <w:pgSz w:w="16820" w:h="11900"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60pt;height:60pt" o:bullet="t">
        <v:imagedata r:id="rId1" o:title="F-web"/>
      </v:shape>
    </w:pict>
  </w:numPicBullet>
  <w:numPicBullet w:numPicBulletId="1">
    <w:pict>
      <v:shape id="_x0000_i1147" type="#_x0000_t75" style="width:60pt;height:60pt" o:bullet="t">
        <v:imagedata r:id="rId2" o:title="L-web"/>
      </v:shape>
    </w:pict>
  </w:numPicBullet>
  <w:abstractNum w:abstractNumId="0">
    <w:nsid w:val="00667CBD"/>
    <w:multiLevelType w:val="hybridMultilevel"/>
    <w:tmpl w:val="72128D1E"/>
    <w:lvl w:ilvl="0" w:tplc="C54692E0">
      <w:start w:val="1"/>
      <w:numFmt w:val="decimal"/>
      <w:lvlText w:val="(%1)"/>
      <w:lvlJc w:val="left"/>
      <w:pPr>
        <w:tabs>
          <w:tab w:val="num" w:pos="0"/>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FA77391"/>
    <w:multiLevelType w:val="hybridMultilevel"/>
    <w:tmpl w:val="76448B7E"/>
    <w:lvl w:ilvl="0" w:tplc="C3925200">
      <w:start w:val="1"/>
      <w:numFmt w:val="bullet"/>
      <w:pStyle w:val="BPVerweisFach"/>
      <w:lvlText w:val=""/>
      <w:lvlPicBulletId w:val="0"/>
      <w:lvlJc w:val="left"/>
      <w:pPr>
        <w:tabs>
          <w:tab w:val="num" w:pos="360"/>
        </w:tabs>
        <w:ind w:left="360" w:hanging="360"/>
      </w:pPr>
      <w:rPr>
        <w:rFonts w:ascii="Symbol" w:hAnsi="Symbol" w:hint="default"/>
        <w:sz w:val="20"/>
        <w:szCs w:val="20"/>
      </w:rPr>
    </w:lvl>
    <w:lvl w:ilvl="1" w:tplc="B64CFD80" w:tentative="1">
      <w:start w:val="1"/>
      <w:numFmt w:val="bullet"/>
      <w:lvlText w:val=""/>
      <w:lvlJc w:val="left"/>
      <w:pPr>
        <w:tabs>
          <w:tab w:val="num" w:pos="1080"/>
        </w:tabs>
        <w:ind w:left="1080" w:hanging="360"/>
      </w:pPr>
      <w:rPr>
        <w:rFonts w:ascii="Symbol" w:hAnsi="Symbol" w:hint="default"/>
      </w:rPr>
    </w:lvl>
    <w:lvl w:ilvl="2" w:tplc="A9082D20" w:tentative="1">
      <w:start w:val="1"/>
      <w:numFmt w:val="bullet"/>
      <w:lvlText w:val=""/>
      <w:lvlJc w:val="left"/>
      <w:pPr>
        <w:tabs>
          <w:tab w:val="num" w:pos="1800"/>
        </w:tabs>
        <w:ind w:left="1800" w:hanging="360"/>
      </w:pPr>
      <w:rPr>
        <w:rFonts w:ascii="Symbol" w:hAnsi="Symbol" w:hint="default"/>
      </w:rPr>
    </w:lvl>
    <w:lvl w:ilvl="3" w:tplc="96385466" w:tentative="1">
      <w:start w:val="1"/>
      <w:numFmt w:val="bullet"/>
      <w:lvlText w:val=""/>
      <w:lvlJc w:val="left"/>
      <w:pPr>
        <w:tabs>
          <w:tab w:val="num" w:pos="2520"/>
        </w:tabs>
        <w:ind w:left="2520" w:hanging="360"/>
      </w:pPr>
      <w:rPr>
        <w:rFonts w:ascii="Symbol" w:hAnsi="Symbol" w:hint="default"/>
      </w:rPr>
    </w:lvl>
    <w:lvl w:ilvl="4" w:tplc="4ADEA684" w:tentative="1">
      <w:start w:val="1"/>
      <w:numFmt w:val="bullet"/>
      <w:lvlText w:val=""/>
      <w:lvlJc w:val="left"/>
      <w:pPr>
        <w:tabs>
          <w:tab w:val="num" w:pos="3240"/>
        </w:tabs>
        <w:ind w:left="3240" w:hanging="360"/>
      </w:pPr>
      <w:rPr>
        <w:rFonts w:ascii="Symbol" w:hAnsi="Symbol" w:hint="default"/>
      </w:rPr>
    </w:lvl>
    <w:lvl w:ilvl="5" w:tplc="926E16BC" w:tentative="1">
      <w:start w:val="1"/>
      <w:numFmt w:val="bullet"/>
      <w:lvlText w:val=""/>
      <w:lvlJc w:val="left"/>
      <w:pPr>
        <w:tabs>
          <w:tab w:val="num" w:pos="3960"/>
        </w:tabs>
        <w:ind w:left="3960" w:hanging="360"/>
      </w:pPr>
      <w:rPr>
        <w:rFonts w:ascii="Symbol" w:hAnsi="Symbol" w:hint="default"/>
      </w:rPr>
    </w:lvl>
    <w:lvl w:ilvl="6" w:tplc="8190DE46" w:tentative="1">
      <w:start w:val="1"/>
      <w:numFmt w:val="bullet"/>
      <w:lvlText w:val=""/>
      <w:lvlJc w:val="left"/>
      <w:pPr>
        <w:tabs>
          <w:tab w:val="num" w:pos="4680"/>
        </w:tabs>
        <w:ind w:left="4680" w:hanging="360"/>
      </w:pPr>
      <w:rPr>
        <w:rFonts w:ascii="Symbol" w:hAnsi="Symbol" w:hint="default"/>
      </w:rPr>
    </w:lvl>
    <w:lvl w:ilvl="7" w:tplc="9ED8766C" w:tentative="1">
      <w:start w:val="1"/>
      <w:numFmt w:val="bullet"/>
      <w:lvlText w:val=""/>
      <w:lvlJc w:val="left"/>
      <w:pPr>
        <w:tabs>
          <w:tab w:val="num" w:pos="5400"/>
        </w:tabs>
        <w:ind w:left="5400" w:hanging="360"/>
      </w:pPr>
      <w:rPr>
        <w:rFonts w:ascii="Symbol" w:hAnsi="Symbol" w:hint="default"/>
      </w:rPr>
    </w:lvl>
    <w:lvl w:ilvl="8" w:tplc="8A0EAFF4" w:tentative="1">
      <w:start w:val="1"/>
      <w:numFmt w:val="bullet"/>
      <w:lvlText w:val=""/>
      <w:lvlJc w:val="left"/>
      <w:pPr>
        <w:tabs>
          <w:tab w:val="num" w:pos="6120"/>
        </w:tabs>
        <w:ind w:left="6120" w:hanging="360"/>
      </w:pPr>
      <w:rPr>
        <w:rFonts w:ascii="Symbol" w:hAnsi="Symbol" w:hint="default"/>
      </w:rPr>
    </w:lvl>
  </w:abstractNum>
  <w:abstractNum w:abstractNumId="2">
    <w:nsid w:val="3E7832EE"/>
    <w:multiLevelType w:val="hybridMultilevel"/>
    <w:tmpl w:val="7AA0D382"/>
    <w:lvl w:ilvl="0" w:tplc="C5B2F220">
      <w:start w:val="1"/>
      <w:numFmt w:val="bullet"/>
      <w:pStyle w:val="BPVerweisLeitprinzip"/>
      <w:lvlText w:val=""/>
      <w:lvlPicBulletId w:val="1"/>
      <w:lvlJc w:val="left"/>
      <w:pPr>
        <w:ind w:left="36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548798F"/>
    <w:multiLevelType w:val="hybridMultilevel"/>
    <w:tmpl w:val="0B60B372"/>
    <w:lvl w:ilvl="0" w:tplc="93F8FA46">
      <w:start w:val="1"/>
      <w:numFmt w:val="decimal"/>
      <w:pStyle w:val="BPIKTeilkompetenzBeschreibung"/>
      <w:lvlText w:val="(%1)"/>
      <w:lvlJc w:val="left"/>
      <w:pPr>
        <w:ind w:left="0" w:firstLine="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num w:numId="1">
    <w:abstractNumId w:val="3"/>
  </w:num>
  <w:num w:numId="2">
    <w:abstractNumId w:val="3"/>
    <w:lvlOverride w:ilvl="0">
      <w:startOverride w:val="1"/>
    </w:lvlOverride>
  </w:num>
  <w:num w:numId="3">
    <w:abstractNumId w:val="1"/>
  </w:num>
  <w:num w:numId="4">
    <w:abstractNumId w:val="2"/>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E3"/>
    <w:rsid w:val="004635E1"/>
    <w:rsid w:val="00485F59"/>
    <w:rsid w:val="004A7CE3"/>
    <w:rsid w:val="004E6496"/>
    <w:rsid w:val="005640C6"/>
    <w:rsid w:val="00566F24"/>
    <w:rsid w:val="00702F94"/>
    <w:rsid w:val="00763440"/>
    <w:rsid w:val="00932A0D"/>
    <w:rsid w:val="00A36DE1"/>
    <w:rsid w:val="00A8051F"/>
    <w:rsid w:val="00B45818"/>
    <w:rsid w:val="00B66F7F"/>
    <w:rsid w:val="00BE0ABB"/>
    <w:rsid w:val="00CB523C"/>
    <w:rsid w:val="00FF6F2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1"/>
    <o:shapelayout v:ext="edit">
      <o:idmap v:ext="edit" data="1"/>
    </o:shapelayout>
  </w:shapeDefaults>
  <w:decimalSymbol w:val=","/>
  <w:listSeparator w:val=";"/>
  <w14:docId w14:val="58F0EE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7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4A7CE3"/>
    <w:pPr>
      <w:spacing w:before="60" w:after="60" w:line="360" w:lineRule="auto"/>
      <w:jc w:val="both"/>
    </w:pPr>
    <w:rPr>
      <w:rFonts w:eastAsia="Calibri" w:cs="Arial"/>
      <w:sz w:val="20"/>
      <w:szCs w:val="20"/>
    </w:rPr>
  </w:style>
  <w:style w:type="paragraph" w:customStyle="1" w:styleId="BPIKTeilkompetenzBeschreibung">
    <w:name w:val="BP_IK_Teilkompetenz_Beschreibung"/>
    <w:basedOn w:val="Standard"/>
    <w:uiPriority w:val="1"/>
    <w:qFormat/>
    <w:rsid w:val="004A7CE3"/>
    <w:pPr>
      <w:numPr>
        <w:numId w:val="1"/>
      </w:numPr>
      <w:tabs>
        <w:tab w:val="left" w:pos="408"/>
      </w:tabs>
      <w:spacing w:line="276" w:lineRule="auto"/>
      <w:jc w:val="both"/>
    </w:pPr>
    <w:rPr>
      <w:rFonts w:eastAsia="Times New Roman" w:cs="Times New Roman"/>
      <w:sz w:val="20"/>
      <w:szCs w:val="20"/>
    </w:rPr>
  </w:style>
  <w:style w:type="paragraph" w:styleId="Fuzeile">
    <w:name w:val="footer"/>
    <w:basedOn w:val="Standard"/>
    <w:link w:val="FuzeileZeichen"/>
    <w:uiPriority w:val="99"/>
    <w:semiHidden/>
    <w:rsid w:val="004A7CE3"/>
    <w:pPr>
      <w:tabs>
        <w:tab w:val="center" w:pos="4536"/>
        <w:tab w:val="right" w:pos="9072"/>
      </w:tabs>
      <w:spacing w:before="60" w:after="60"/>
      <w:jc w:val="both"/>
    </w:pPr>
    <w:rPr>
      <w:rFonts w:eastAsia="Times New Roman" w:cs="Times New Roman"/>
      <w:sz w:val="20"/>
      <w:szCs w:val="20"/>
    </w:rPr>
  </w:style>
  <w:style w:type="character" w:customStyle="1" w:styleId="FuzeileZeichen">
    <w:name w:val="Fußzeile Zeichen"/>
    <w:basedOn w:val="Absatzstandardschriftart"/>
    <w:link w:val="Fuzeile"/>
    <w:uiPriority w:val="99"/>
    <w:semiHidden/>
    <w:rsid w:val="004A7CE3"/>
    <w:rPr>
      <w:rFonts w:eastAsia="Times New Roman" w:cs="Times New Roman"/>
      <w:sz w:val="20"/>
      <w:szCs w:val="20"/>
    </w:rPr>
  </w:style>
  <w:style w:type="paragraph" w:customStyle="1" w:styleId="BPVerweisFach">
    <w:name w:val="BP_Verweis_Fach"/>
    <w:basedOn w:val="Standard"/>
    <w:uiPriority w:val="99"/>
    <w:qFormat/>
    <w:rsid w:val="004A7CE3"/>
    <w:pPr>
      <w:numPr>
        <w:numId w:val="3"/>
      </w:numPr>
      <w:tabs>
        <w:tab w:val="clear" w:pos="360"/>
        <w:tab w:val="left" w:pos="227"/>
        <w:tab w:val="left" w:pos="851"/>
      </w:tabs>
      <w:spacing w:line="276" w:lineRule="auto"/>
      <w:ind w:left="851" w:hanging="851"/>
    </w:pPr>
    <w:rPr>
      <w:rFonts w:eastAsia="Calibri" w:cs="Arial"/>
      <w:sz w:val="16"/>
      <w:szCs w:val="20"/>
    </w:rPr>
  </w:style>
  <w:style w:type="paragraph" w:customStyle="1" w:styleId="BPVerweisLeitprinzip">
    <w:name w:val="BP_Verweis_Leitprinzip"/>
    <w:basedOn w:val="Standard"/>
    <w:uiPriority w:val="1"/>
    <w:qFormat/>
    <w:rsid w:val="004A7CE3"/>
    <w:pPr>
      <w:numPr>
        <w:numId w:val="4"/>
      </w:numPr>
      <w:tabs>
        <w:tab w:val="left" w:pos="227"/>
        <w:tab w:val="left" w:pos="851"/>
      </w:tabs>
      <w:spacing w:line="276" w:lineRule="auto"/>
      <w:ind w:left="851" w:hanging="851"/>
    </w:pPr>
    <w:rPr>
      <w:rFonts w:eastAsia="Calibri" w:cs="Arial"/>
      <w:sz w:val="1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7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4A7CE3"/>
    <w:pPr>
      <w:spacing w:before="60" w:after="60" w:line="360" w:lineRule="auto"/>
      <w:jc w:val="both"/>
    </w:pPr>
    <w:rPr>
      <w:rFonts w:eastAsia="Calibri" w:cs="Arial"/>
      <w:sz w:val="20"/>
      <w:szCs w:val="20"/>
    </w:rPr>
  </w:style>
  <w:style w:type="paragraph" w:customStyle="1" w:styleId="BPIKTeilkompetenzBeschreibung">
    <w:name w:val="BP_IK_Teilkompetenz_Beschreibung"/>
    <w:basedOn w:val="Standard"/>
    <w:uiPriority w:val="1"/>
    <w:qFormat/>
    <w:rsid w:val="004A7CE3"/>
    <w:pPr>
      <w:numPr>
        <w:numId w:val="1"/>
      </w:numPr>
      <w:tabs>
        <w:tab w:val="left" w:pos="408"/>
      </w:tabs>
      <w:spacing w:line="276" w:lineRule="auto"/>
      <w:jc w:val="both"/>
    </w:pPr>
    <w:rPr>
      <w:rFonts w:eastAsia="Times New Roman" w:cs="Times New Roman"/>
      <w:sz w:val="20"/>
      <w:szCs w:val="20"/>
    </w:rPr>
  </w:style>
  <w:style w:type="paragraph" w:styleId="Fuzeile">
    <w:name w:val="footer"/>
    <w:basedOn w:val="Standard"/>
    <w:link w:val="FuzeileZeichen"/>
    <w:uiPriority w:val="99"/>
    <w:semiHidden/>
    <w:rsid w:val="004A7CE3"/>
    <w:pPr>
      <w:tabs>
        <w:tab w:val="center" w:pos="4536"/>
        <w:tab w:val="right" w:pos="9072"/>
      </w:tabs>
      <w:spacing w:before="60" w:after="60"/>
      <w:jc w:val="both"/>
    </w:pPr>
    <w:rPr>
      <w:rFonts w:eastAsia="Times New Roman" w:cs="Times New Roman"/>
      <w:sz w:val="20"/>
      <w:szCs w:val="20"/>
    </w:rPr>
  </w:style>
  <w:style w:type="character" w:customStyle="1" w:styleId="FuzeileZeichen">
    <w:name w:val="Fußzeile Zeichen"/>
    <w:basedOn w:val="Absatzstandardschriftart"/>
    <w:link w:val="Fuzeile"/>
    <w:uiPriority w:val="99"/>
    <w:semiHidden/>
    <w:rsid w:val="004A7CE3"/>
    <w:rPr>
      <w:rFonts w:eastAsia="Times New Roman" w:cs="Times New Roman"/>
      <w:sz w:val="20"/>
      <w:szCs w:val="20"/>
    </w:rPr>
  </w:style>
  <w:style w:type="paragraph" w:customStyle="1" w:styleId="BPVerweisFach">
    <w:name w:val="BP_Verweis_Fach"/>
    <w:basedOn w:val="Standard"/>
    <w:uiPriority w:val="99"/>
    <w:qFormat/>
    <w:rsid w:val="004A7CE3"/>
    <w:pPr>
      <w:numPr>
        <w:numId w:val="3"/>
      </w:numPr>
      <w:tabs>
        <w:tab w:val="clear" w:pos="360"/>
        <w:tab w:val="left" w:pos="227"/>
        <w:tab w:val="left" w:pos="851"/>
      </w:tabs>
      <w:spacing w:line="276" w:lineRule="auto"/>
      <w:ind w:left="851" w:hanging="851"/>
    </w:pPr>
    <w:rPr>
      <w:rFonts w:eastAsia="Calibri" w:cs="Arial"/>
      <w:sz w:val="16"/>
      <w:szCs w:val="20"/>
    </w:rPr>
  </w:style>
  <w:style w:type="paragraph" w:customStyle="1" w:styleId="BPVerweisLeitprinzip">
    <w:name w:val="BP_Verweis_Leitprinzip"/>
    <w:basedOn w:val="Standard"/>
    <w:uiPriority w:val="1"/>
    <w:qFormat/>
    <w:rsid w:val="004A7CE3"/>
    <w:pPr>
      <w:numPr>
        <w:numId w:val="4"/>
      </w:numPr>
      <w:tabs>
        <w:tab w:val="left" w:pos="227"/>
        <w:tab w:val="left" w:pos="851"/>
      </w:tabs>
      <w:spacing w:line="276" w:lineRule="auto"/>
      <w:ind w:left="851" w:hanging="851"/>
    </w:pPr>
    <w:rPr>
      <w:rFonts w:eastAsia="Calibri"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5056</Characters>
  <Application>Microsoft Macintosh Word</Application>
  <DocSecurity>0</DocSecurity>
  <Lines>42</Lines>
  <Paragraphs>11</Paragraphs>
  <ScaleCrop>false</ScaleCrop>
  <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Bösenberg</dc:creator>
  <cp:keywords/>
  <dc:description/>
  <cp:lastModifiedBy>Ulrich Bösenberg</cp:lastModifiedBy>
  <cp:revision>4</cp:revision>
  <dcterms:created xsi:type="dcterms:W3CDTF">2015-06-04T15:01:00Z</dcterms:created>
  <dcterms:modified xsi:type="dcterms:W3CDTF">2015-06-04T16:53:00Z</dcterms:modified>
</cp:coreProperties>
</file>