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ECAC" w14:textId="77777777" w:rsidR="00AB439D" w:rsidRDefault="00AB439D">
      <w:pPr>
        <w:rPr>
          <w:b/>
        </w:rPr>
      </w:pPr>
    </w:p>
    <w:p w14:paraId="2DB05C2B" w14:textId="77777777" w:rsidR="00AB439D" w:rsidRDefault="00AB439D">
      <w:pPr>
        <w:rPr>
          <w:b/>
        </w:rPr>
      </w:pPr>
    </w:p>
    <w:p w14:paraId="216F9C03" w14:textId="0F398BAE" w:rsidR="004A7CE3" w:rsidRPr="006616FD" w:rsidRDefault="000120E3">
      <w:pPr>
        <w:rPr>
          <w:b/>
        </w:rPr>
      </w:pPr>
      <w:r>
        <w:rPr>
          <w:b/>
        </w:rPr>
        <w:t>BP 2016 GYMNASIUM, BILDENDE KUNST</w:t>
      </w:r>
      <w:r w:rsidR="00CF2596">
        <w:rPr>
          <w:b/>
        </w:rPr>
        <w:tab/>
      </w:r>
      <w:r w:rsidR="00CF2596">
        <w:rPr>
          <w:b/>
        </w:rPr>
        <w:tab/>
      </w:r>
      <w:r w:rsidR="00CF2596">
        <w:rPr>
          <w:b/>
        </w:rPr>
        <w:tab/>
      </w:r>
      <w:r w:rsidR="00CF2596">
        <w:rPr>
          <w:b/>
        </w:rPr>
        <w:tab/>
      </w:r>
      <w:r w:rsidR="00CF2596">
        <w:rPr>
          <w:b/>
        </w:rPr>
        <w:tab/>
      </w:r>
      <w:r w:rsidR="00CF2596">
        <w:rPr>
          <w:b/>
        </w:rPr>
        <w:tab/>
      </w:r>
      <w:r w:rsidR="006616FD">
        <w:rPr>
          <w:b/>
        </w:rPr>
        <w:tab/>
      </w:r>
      <w:r w:rsidR="006616FD">
        <w:rPr>
          <w:b/>
        </w:rPr>
        <w:tab/>
      </w:r>
      <w:r w:rsidR="006616FD">
        <w:rPr>
          <w:b/>
        </w:rPr>
        <w:tab/>
      </w:r>
      <w:r w:rsidR="006616FD">
        <w:rPr>
          <w:b/>
        </w:rPr>
        <w:tab/>
      </w:r>
      <w:r w:rsidR="006616FD">
        <w:rPr>
          <w:b/>
        </w:rPr>
        <w:tab/>
        <w:t xml:space="preserve">         Klassen 11/</w:t>
      </w:r>
      <w:r w:rsidR="002B3AC3" w:rsidRPr="006616FD">
        <w:rPr>
          <w:b/>
        </w:rPr>
        <w:t>12</w:t>
      </w:r>
      <w:r w:rsidR="004A7CE3" w:rsidRPr="006616FD">
        <w:rPr>
          <w:b/>
        </w:rPr>
        <w:t xml:space="preserve"> </w:t>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r>
      <w:r w:rsidR="004A7CE3" w:rsidRPr="006616FD">
        <w:rPr>
          <w:b/>
        </w:rPr>
        <w:tab/>
        <w:t xml:space="preserve">                          </w:t>
      </w:r>
    </w:p>
    <w:tbl>
      <w:tblPr>
        <w:tblStyle w:val="Tabellenraster"/>
        <w:tblW w:w="0" w:type="auto"/>
        <w:tblLayout w:type="fixed"/>
        <w:tblLook w:val="04A0" w:firstRow="1" w:lastRow="0" w:firstColumn="1" w:lastColumn="0" w:noHBand="0" w:noVBand="1"/>
      </w:tblPr>
      <w:tblGrid>
        <w:gridCol w:w="2689"/>
        <w:gridCol w:w="2693"/>
        <w:gridCol w:w="2256"/>
        <w:gridCol w:w="3130"/>
        <w:gridCol w:w="2410"/>
        <w:gridCol w:w="2098"/>
      </w:tblGrid>
      <w:tr w:rsidR="004A7CE3" w14:paraId="3C66EBE1" w14:textId="77777777" w:rsidTr="00AB439D">
        <w:tc>
          <w:tcPr>
            <w:tcW w:w="5382" w:type="dxa"/>
            <w:gridSpan w:val="2"/>
          </w:tcPr>
          <w:p w14:paraId="51C0F45C" w14:textId="77777777" w:rsidR="004A7CE3" w:rsidRDefault="004A7CE3">
            <w:r>
              <w:t>FLÄCHE</w:t>
            </w:r>
          </w:p>
        </w:tc>
        <w:tc>
          <w:tcPr>
            <w:tcW w:w="5386" w:type="dxa"/>
            <w:gridSpan w:val="2"/>
          </w:tcPr>
          <w:p w14:paraId="726B3C05" w14:textId="77777777" w:rsidR="004A7CE3" w:rsidRDefault="004A7CE3">
            <w:r>
              <w:t>RAUM</w:t>
            </w:r>
          </w:p>
        </w:tc>
        <w:tc>
          <w:tcPr>
            <w:tcW w:w="4508" w:type="dxa"/>
            <w:gridSpan w:val="2"/>
          </w:tcPr>
          <w:p w14:paraId="16EA7A6A" w14:textId="77777777" w:rsidR="004A7CE3" w:rsidRDefault="004A7CE3">
            <w:r>
              <w:t>ZEIT</w:t>
            </w:r>
          </w:p>
        </w:tc>
      </w:tr>
      <w:tr w:rsidR="005640C6" w14:paraId="29271915" w14:textId="77777777" w:rsidTr="00AB439D">
        <w:trPr>
          <w:trHeight w:val="343"/>
        </w:trPr>
        <w:tc>
          <w:tcPr>
            <w:tcW w:w="2689" w:type="dxa"/>
            <w:shd w:val="clear" w:color="auto" w:fill="FFFF00"/>
          </w:tcPr>
          <w:p w14:paraId="5373F97E" w14:textId="77777777" w:rsidR="004A7CE3" w:rsidRDefault="004A7CE3">
            <w:r>
              <w:t>Grafik</w:t>
            </w:r>
          </w:p>
        </w:tc>
        <w:tc>
          <w:tcPr>
            <w:tcW w:w="2693" w:type="dxa"/>
            <w:shd w:val="clear" w:color="auto" w:fill="FF6600"/>
          </w:tcPr>
          <w:p w14:paraId="2337400D" w14:textId="77777777" w:rsidR="004A7CE3" w:rsidRDefault="004A7CE3">
            <w:r>
              <w:t>Malerei</w:t>
            </w:r>
          </w:p>
        </w:tc>
        <w:tc>
          <w:tcPr>
            <w:tcW w:w="2256" w:type="dxa"/>
            <w:shd w:val="clear" w:color="auto" w:fill="FF0000"/>
          </w:tcPr>
          <w:p w14:paraId="19A0EE12" w14:textId="77777777" w:rsidR="004A7CE3" w:rsidRDefault="004A7CE3">
            <w:r>
              <w:t>Plastik</w:t>
            </w:r>
          </w:p>
        </w:tc>
        <w:tc>
          <w:tcPr>
            <w:tcW w:w="3130" w:type="dxa"/>
            <w:shd w:val="clear" w:color="auto" w:fill="660066"/>
          </w:tcPr>
          <w:p w14:paraId="4DD9D69F" w14:textId="77777777" w:rsidR="004A7CE3" w:rsidRDefault="004A7CE3">
            <w:r>
              <w:t>Architektur</w:t>
            </w:r>
          </w:p>
        </w:tc>
        <w:tc>
          <w:tcPr>
            <w:tcW w:w="2410" w:type="dxa"/>
            <w:shd w:val="clear" w:color="auto" w:fill="0000FF"/>
          </w:tcPr>
          <w:p w14:paraId="390B6070" w14:textId="77777777" w:rsidR="004A7CE3" w:rsidRDefault="004A7CE3">
            <w:r>
              <w:t>Medien</w:t>
            </w:r>
          </w:p>
        </w:tc>
        <w:tc>
          <w:tcPr>
            <w:tcW w:w="2098" w:type="dxa"/>
            <w:shd w:val="clear" w:color="auto" w:fill="008000"/>
          </w:tcPr>
          <w:p w14:paraId="047F77E4" w14:textId="77777777" w:rsidR="004A7CE3" w:rsidRDefault="004A7CE3">
            <w:r>
              <w:t>Aktion</w:t>
            </w:r>
          </w:p>
        </w:tc>
      </w:tr>
      <w:tr w:rsidR="005640C6" w14:paraId="1527ED70" w14:textId="77777777" w:rsidTr="00AB439D">
        <w:trPr>
          <w:trHeight w:val="7569"/>
        </w:trPr>
        <w:tc>
          <w:tcPr>
            <w:tcW w:w="2689" w:type="dxa"/>
            <w:shd w:val="clear" w:color="auto" w:fill="F4F8D7"/>
          </w:tcPr>
          <w:p w14:paraId="5BF9F765" w14:textId="77777777" w:rsidR="002B3AC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erproben grafische Ausdrucksformen im gegenständlichen und ungegenständlichen Bereich. Sie entdecken unterschiedliche grafische Möglichkeiten und nutzen diese bewusst zur eigenen Gestaltung. Die Schülerinnen und Schüler erzielen mit grafischen Mitteln Wirkung, Ausdruck und Bedeutung und erreichen eine angemessene Komplexität und Prägnanz in der Gestaltung.</w:t>
            </w:r>
          </w:p>
          <w:p w14:paraId="1F94C372" w14:textId="77777777" w:rsidR="002B3AC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können</w:t>
            </w:r>
          </w:p>
          <w:p w14:paraId="291AB984" w14:textId="77777777" w:rsidR="004A7CE3" w:rsidRPr="00AB439D" w:rsidRDefault="004A7CE3" w:rsidP="00B24E21">
            <w:pPr>
              <w:pStyle w:val="BPIKKompetenzBeschreibung"/>
              <w:spacing w:before="40" w:after="40" w:line="300" w:lineRule="exact"/>
              <w:jc w:val="left"/>
              <w:rPr>
                <w:sz w:val="22"/>
                <w:szCs w:val="22"/>
              </w:rPr>
            </w:pPr>
          </w:p>
        </w:tc>
        <w:tc>
          <w:tcPr>
            <w:tcW w:w="2693" w:type="dxa"/>
            <w:shd w:val="clear" w:color="auto" w:fill="FDE9D9" w:themeFill="accent6" w:themeFillTint="33"/>
          </w:tcPr>
          <w:p w14:paraId="014BD346" w14:textId="77777777" w:rsidR="002B3AC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erproben und entwickeln malerische Ausdrucksformen in offenen Prozessen zwischen Konkretion und Abstraktion. Sie lernen unterschiedliche malerische  Verfahren kennen und nutzen diese bewusst zur eigenen Gestaltung. Sie erzielen mit malerischen Mitteln Wirkung, Ausdruck und Bedeutung und erreichen eine angemessene Komplexität und Prägnanz in der Gestaltung.</w:t>
            </w:r>
          </w:p>
          <w:p w14:paraId="517BA066" w14:textId="15D0B4DB" w:rsidR="004A7CE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können</w:t>
            </w:r>
          </w:p>
        </w:tc>
        <w:tc>
          <w:tcPr>
            <w:tcW w:w="2256" w:type="dxa"/>
            <w:shd w:val="clear" w:color="auto" w:fill="FFC0C9"/>
          </w:tcPr>
          <w:p w14:paraId="0EC55781" w14:textId="77777777" w:rsidR="002B3AC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wählen plastische Mittel und entsprechende Materialien, Prozesse und Gestaltungsweisen und setzen diese absichtsvoll ein. Sie erzielen Wirkung, Ausdruck und Bedeutung, indem sie sich mit Körper und Raum in Form von Plastik, Objekt und Installation auseinandersetzen.</w:t>
            </w:r>
          </w:p>
          <w:p w14:paraId="43BA994C" w14:textId="77777777" w:rsidR="004A7CE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können</w:t>
            </w:r>
          </w:p>
        </w:tc>
        <w:tc>
          <w:tcPr>
            <w:tcW w:w="3130" w:type="dxa"/>
            <w:shd w:val="clear" w:color="auto" w:fill="CCC0D9" w:themeFill="accent4" w:themeFillTint="66"/>
          </w:tcPr>
          <w:p w14:paraId="6897E39B" w14:textId="77777777" w:rsidR="002B3AC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erfahren und reflektieren Architektur im Spannungsfeld zwischen Vision und Realisierung. Sie setzen sich mit Architektur unter den Aspekten Material, Konstruktion, Form, Funktion, Raum und Umwelt auseinander und erkennen die gesellschaftlichen Dimensionen von Architektur.</w:t>
            </w:r>
          </w:p>
          <w:p w14:paraId="260399D6" w14:textId="77777777" w:rsidR="00BE0ABB" w:rsidRPr="00AB439D" w:rsidRDefault="002B3AC3" w:rsidP="00B24E21">
            <w:pPr>
              <w:spacing w:before="40" w:after="40" w:line="300" w:lineRule="exact"/>
              <w:rPr>
                <w:sz w:val="22"/>
                <w:szCs w:val="22"/>
              </w:rPr>
            </w:pPr>
            <w:r w:rsidRPr="00AB439D">
              <w:rPr>
                <w:sz w:val="22"/>
                <w:szCs w:val="22"/>
              </w:rPr>
              <w:t>Die Schülerinnen und Schüler können</w:t>
            </w:r>
          </w:p>
        </w:tc>
        <w:tc>
          <w:tcPr>
            <w:tcW w:w="2410" w:type="dxa"/>
            <w:shd w:val="clear" w:color="auto" w:fill="B5CFEC"/>
          </w:tcPr>
          <w:p w14:paraId="73316920" w14:textId="77777777" w:rsidR="002B3AC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nutzen und analysieren Medien in der jeweiligen Erscheinungsform und in ihrem Bedeutungszusammenhang und wenden sie gezielt als Gestaltungsmittel an. Sie verfolgen Medien im Wandel ihrer künstlerischen Wirkung und setzen Medien als Kommunikations- und Präsentationsmittel adäquat ein.</w:t>
            </w:r>
          </w:p>
          <w:p w14:paraId="499AEE48" w14:textId="77777777" w:rsidR="004A7CE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können</w:t>
            </w:r>
          </w:p>
        </w:tc>
        <w:tc>
          <w:tcPr>
            <w:tcW w:w="2098" w:type="dxa"/>
            <w:shd w:val="clear" w:color="auto" w:fill="C1ECB8"/>
          </w:tcPr>
          <w:p w14:paraId="57B40B29" w14:textId="77777777" w:rsidR="002B3AC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erproben und entwickeln handlungsorientierte und interdisziplinäre Darstellungsformen. Sie erkennen und nutzen spezifische Aspekte von Aktion wie die Abhängigkeit von Zeit und Raum und verstehen Aktion als Kunstform zwischen Improvisation und Konzeption.</w:t>
            </w:r>
          </w:p>
          <w:p w14:paraId="311CF6EB" w14:textId="77777777" w:rsidR="002B3AC3" w:rsidRPr="00AB439D" w:rsidRDefault="002B3AC3" w:rsidP="00B24E21">
            <w:pPr>
              <w:pStyle w:val="BPIKKompetenzBeschreibung"/>
              <w:spacing w:before="40" w:after="40" w:line="300" w:lineRule="exact"/>
              <w:jc w:val="left"/>
              <w:rPr>
                <w:sz w:val="22"/>
                <w:szCs w:val="22"/>
              </w:rPr>
            </w:pPr>
            <w:r w:rsidRPr="00AB439D">
              <w:rPr>
                <w:sz w:val="22"/>
                <w:szCs w:val="22"/>
              </w:rPr>
              <w:t>Die Schülerinnen und Schüler können</w:t>
            </w:r>
          </w:p>
          <w:p w14:paraId="3F3952BD" w14:textId="77777777" w:rsidR="004A7CE3" w:rsidRPr="00AB439D" w:rsidRDefault="004A7CE3" w:rsidP="00B24E21">
            <w:pPr>
              <w:pStyle w:val="BPIKKompetenzBeschreibung"/>
              <w:spacing w:before="40" w:after="40" w:line="300" w:lineRule="exact"/>
              <w:jc w:val="left"/>
              <w:rPr>
                <w:sz w:val="22"/>
                <w:szCs w:val="22"/>
              </w:rPr>
            </w:pPr>
          </w:p>
        </w:tc>
      </w:tr>
    </w:tbl>
    <w:p w14:paraId="3C38C50A" w14:textId="2527BF9A" w:rsidR="00AB439D" w:rsidRDefault="00AB439D"/>
    <w:p w14:paraId="00EE4EFD" w14:textId="77777777" w:rsidR="00AB439D" w:rsidRDefault="00AB439D">
      <w:r>
        <w:br w:type="page"/>
      </w:r>
    </w:p>
    <w:p w14:paraId="3A6739F8" w14:textId="77777777" w:rsidR="00AB439D" w:rsidRDefault="00AB439D"/>
    <w:tbl>
      <w:tblPr>
        <w:tblStyle w:val="Tabellenraster"/>
        <w:tblW w:w="0" w:type="auto"/>
        <w:tblLayout w:type="fixed"/>
        <w:tblLook w:val="04A0" w:firstRow="1" w:lastRow="0" w:firstColumn="1" w:lastColumn="0" w:noHBand="0" w:noVBand="1"/>
      </w:tblPr>
      <w:tblGrid>
        <w:gridCol w:w="2830"/>
        <w:gridCol w:w="2552"/>
        <w:gridCol w:w="2256"/>
        <w:gridCol w:w="3130"/>
        <w:gridCol w:w="2410"/>
        <w:gridCol w:w="2098"/>
      </w:tblGrid>
      <w:tr w:rsidR="000A79D7" w14:paraId="30E02A36" w14:textId="77777777" w:rsidTr="00AB439D">
        <w:trPr>
          <w:trHeight w:val="341"/>
        </w:trPr>
        <w:tc>
          <w:tcPr>
            <w:tcW w:w="2830" w:type="dxa"/>
            <w:shd w:val="clear" w:color="auto" w:fill="FAFFE8"/>
          </w:tcPr>
          <w:p w14:paraId="37CC8DD2" w14:textId="77777777" w:rsidR="000A79D7" w:rsidRPr="000A79D7" w:rsidRDefault="000A79D7" w:rsidP="00AB439D">
            <w:pPr>
              <w:pStyle w:val="BPIKKompetenzBeschreibung"/>
              <w:spacing w:before="40" w:after="40" w:line="240" w:lineRule="auto"/>
              <w:jc w:val="left"/>
            </w:pPr>
            <w:r w:rsidRPr="00B24E21">
              <w:t>(1) vielfältige grafische Mittel anwenden und verschiedene Funktionen der Zeichnung formal und inhaltlich einsetzen</w:t>
            </w:r>
          </w:p>
        </w:tc>
        <w:tc>
          <w:tcPr>
            <w:tcW w:w="2552" w:type="dxa"/>
            <w:shd w:val="clear" w:color="auto" w:fill="FDE9D9" w:themeFill="accent6" w:themeFillTint="33"/>
          </w:tcPr>
          <w:p w14:paraId="3D698A9B" w14:textId="77777777" w:rsidR="000A79D7" w:rsidRPr="000A79D7" w:rsidRDefault="000A79D7" w:rsidP="00AB439D">
            <w:pPr>
              <w:pStyle w:val="BPIKKompetenzBeschreibung"/>
              <w:spacing w:before="40" w:after="40" w:line="240" w:lineRule="auto"/>
              <w:jc w:val="left"/>
            </w:pPr>
            <w:r>
              <w:t xml:space="preserve">(1) </w:t>
            </w:r>
            <w:r w:rsidRPr="000A79D7">
              <w:t>die aus der experimentellen und forschenden Auseinandersetzung mit verschiedenen Farben, Materialien und deren Wirkung resultierenden Erkenntnisse für die eigene Gestaltung nutzen</w:t>
            </w:r>
          </w:p>
        </w:tc>
        <w:tc>
          <w:tcPr>
            <w:tcW w:w="2256" w:type="dxa"/>
            <w:shd w:val="clear" w:color="auto" w:fill="FDD1D7"/>
          </w:tcPr>
          <w:p w14:paraId="14F72391" w14:textId="77777777" w:rsidR="000A79D7" w:rsidRPr="000A79D7" w:rsidRDefault="000A79D7" w:rsidP="00AB439D">
            <w:pPr>
              <w:pStyle w:val="BPIKKompetenzBeschreibung"/>
              <w:spacing w:before="40" w:after="40" w:line="240" w:lineRule="auto"/>
              <w:jc w:val="left"/>
            </w:pPr>
            <w:r>
              <w:t xml:space="preserve">(1) </w:t>
            </w:r>
            <w:r w:rsidRPr="000A79D7">
              <w:t>plastische Gestaltungsmittel hinsichtlich Material, Formensprache und Wirkung beschreiben, untersuchen und beurteilen</w:t>
            </w:r>
          </w:p>
        </w:tc>
        <w:tc>
          <w:tcPr>
            <w:tcW w:w="3130" w:type="dxa"/>
            <w:shd w:val="clear" w:color="auto" w:fill="E5DFEC" w:themeFill="accent4" w:themeFillTint="33"/>
          </w:tcPr>
          <w:p w14:paraId="681C418C" w14:textId="77777777" w:rsidR="000A79D7" w:rsidRPr="000A79D7" w:rsidRDefault="000A79D7" w:rsidP="00AB439D">
            <w:pPr>
              <w:pStyle w:val="BPIKKompetenzBeschreibung"/>
              <w:spacing w:before="40" w:after="40" w:line="240" w:lineRule="auto"/>
              <w:jc w:val="left"/>
            </w:pPr>
            <w:r>
              <w:t xml:space="preserve">(1) </w:t>
            </w:r>
            <w:r w:rsidRPr="000A79D7">
              <w:t>architektonische Gestaltungsmittel und unterschiedliche Funktionen von Architektur untersuchen,  beurteilen sowie in Entwurf und Modell anwenden</w:t>
            </w:r>
          </w:p>
        </w:tc>
        <w:tc>
          <w:tcPr>
            <w:tcW w:w="2410" w:type="dxa"/>
            <w:shd w:val="clear" w:color="auto" w:fill="C2D5EC"/>
          </w:tcPr>
          <w:p w14:paraId="1F0B89D4" w14:textId="77777777" w:rsidR="000A79D7" w:rsidRPr="000A79D7" w:rsidRDefault="000A79D7" w:rsidP="00AB439D">
            <w:pPr>
              <w:pStyle w:val="BPIKKompetenzBeschreibung"/>
              <w:spacing w:before="40" w:after="40" w:line="240" w:lineRule="auto"/>
              <w:jc w:val="left"/>
            </w:pPr>
            <w:r>
              <w:t xml:space="preserve">(1) </w:t>
            </w:r>
            <w:r w:rsidRPr="000A79D7">
              <w:t>Medien hinsichtlich ihrer Erscheinungsformen, Funktionen und Wirkungen untersuchen</w:t>
            </w:r>
          </w:p>
        </w:tc>
        <w:tc>
          <w:tcPr>
            <w:tcW w:w="2098" w:type="dxa"/>
            <w:shd w:val="clear" w:color="auto" w:fill="D3ECD0"/>
          </w:tcPr>
          <w:p w14:paraId="18B3480F" w14:textId="77777777" w:rsidR="000A79D7" w:rsidRPr="000A79D7" w:rsidRDefault="000A79D7" w:rsidP="00AB439D">
            <w:pPr>
              <w:pStyle w:val="BPIKKompetenzBeschreibung"/>
              <w:spacing w:before="40" w:after="40" w:line="240" w:lineRule="auto"/>
              <w:jc w:val="left"/>
            </w:pPr>
            <w:r>
              <w:t xml:space="preserve">(1) </w:t>
            </w:r>
            <w:r w:rsidR="006616FD" w:rsidRPr="000A79D7">
              <w:t>eigene Aktionsformen interdisziplinär entwickeln und gestalten</w:t>
            </w:r>
          </w:p>
        </w:tc>
      </w:tr>
      <w:tr w:rsidR="000A79D7" w14:paraId="409F5229" w14:textId="77777777" w:rsidTr="00AB439D">
        <w:trPr>
          <w:trHeight w:val="341"/>
        </w:trPr>
        <w:tc>
          <w:tcPr>
            <w:tcW w:w="2830" w:type="dxa"/>
            <w:shd w:val="clear" w:color="auto" w:fill="FAFFE8"/>
          </w:tcPr>
          <w:p w14:paraId="22C02D64" w14:textId="77777777" w:rsidR="000A79D7" w:rsidRPr="000A79D7" w:rsidRDefault="000A79D7" w:rsidP="00AB439D">
            <w:pPr>
              <w:pStyle w:val="BPIKKompetenzBeschreibung"/>
              <w:spacing w:before="40" w:after="40" w:line="240" w:lineRule="auto"/>
              <w:jc w:val="left"/>
            </w:pPr>
            <w:r>
              <w:t xml:space="preserve">(2) </w:t>
            </w:r>
            <w:r w:rsidRPr="000A79D7">
              <w:t>grafische Mittel abbildhaft, abstrakt und experimentell anwenden und dabei Sichtbares, Vorstellbares, Ideen und Emotionen darstellen</w:t>
            </w:r>
          </w:p>
        </w:tc>
        <w:tc>
          <w:tcPr>
            <w:tcW w:w="2552" w:type="dxa"/>
            <w:shd w:val="clear" w:color="auto" w:fill="FDE9D9" w:themeFill="accent6" w:themeFillTint="33"/>
          </w:tcPr>
          <w:p w14:paraId="419A0BA7" w14:textId="77777777" w:rsidR="000A79D7" w:rsidRPr="000A79D7" w:rsidRDefault="000A79D7" w:rsidP="00AB439D">
            <w:pPr>
              <w:pStyle w:val="BPIKKompetenzBeschreibung"/>
              <w:spacing w:before="40" w:after="40" w:line="240" w:lineRule="auto"/>
              <w:jc w:val="left"/>
            </w:pPr>
            <w:r>
              <w:t xml:space="preserve">(2) </w:t>
            </w:r>
            <w:r w:rsidR="006616FD" w:rsidRPr="000A79D7">
              <w:t>Ordnungen, Funktionen und Wirkungen von Farbe untersuchen und auf dieser Grundlage Farben, Farbmaterialien und Maltechniken in unterschiedlichen Kontexten erproben und gezielt anwenden</w:t>
            </w:r>
          </w:p>
        </w:tc>
        <w:tc>
          <w:tcPr>
            <w:tcW w:w="2256" w:type="dxa"/>
            <w:shd w:val="clear" w:color="auto" w:fill="FDD1D7"/>
          </w:tcPr>
          <w:p w14:paraId="4DBDD398" w14:textId="77777777" w:rsidR="000A79D7" w:rsidRPr="000A79D7" w:rsidRDefault="000A79D7" w:rsidP="00AB439D">
            <w:pPr>
              <w:pStyle w:val="BPIKKompetenzBeschreibung"/>
              <w:spacing w:before="40" w:after="40" w:line="240" w:lineRule="auto"/>
              <w:jc w:val="left"/>
            </w:pPr>
            <w:r>
              <w:t xml:space="preserve">(2) </w:t>
            </w:r>
            <w:r w:rsidRPr="000A79D7">
              <w:t>plastische Kategorien in ihrer Vielfalt und in ihrer Beziehung zum Raum erproben und reflektieren</w:t>
            </w:r>
          </w:p>
        </w:tc>
        <w:tc>
          <w:tcPr>
            <w:tcW w:w="3130" w:type="dxa"/>
            <w:shd w:val="clear" w:color="auto" w:fill="E5DFEC" w:themeFill="accent4" w:themeFillTint="33"/>
          </w:tcPr>
          <w:p w14:paraId="066B4477" w14:textId="77777777" w:rsidR="000A79D7" w:rsidRPr="000A79D7" w:rsidRDefault="000A79D7" w:rsidP="00AB439D">
            <w:pPr>
              <w:pStyle w:val="BPIKKompetenzBeschreibung"/>
              <w:spacing w:before="40" w:after="40" w:line="240" w:lineRule="auto"/>
              <w:jc w:val="left"/>
            </w:pPr>
            <w:r>
              <w:t xml:space="preserve">(2) </w:t>
            </w:r>
            <w:r w:rsidR="006616FD" w:rsidRPr="000A79D7">
              <w:t>verschiedene Konstruktions- und Gestaltungsweisen erkennen und diese modellhaft erproben</w:t>
            </w:r>
          </w:p>
        </w:tc>
        <w:tc>
          <w:tcPr>
            <w:tcW w:w="2410" w:type="dxa"/>
            <w:shd w:val="clear" w:color="auto" w:fill="C2D5EC"/>
          </w:tcPr>
          <w:p w14:paraId="5C2E3F54" w14:textId="77777777" w:rsidR="000A79D7" w:rsidRPr="000A79D7" w:rsidRDefault="000A79D7" w:rsidP="00AB439D">
            <w:pPr>
              <w:pStyle w:val="BPIKKompetenzBeschreibung"/>
              <w:spacing w:before="40" w:after="40" w:line="240" w:lineRule="auto"/>
              <w:jc w:val="left"/>
            </w:pPr>
            <w:r>
              <w:t xml:space="preserve">(2) </w:t>
            </w:r>
            <w:r w:rsidRPr="000A79D7">
              <w:t>Medien zur Gestaltung nutzen, Konzepte entwickeln und eigene Produkte realisieren</w:t>
            </w:r>
          </w:p>
        </w:tc>
        <w:tc>
          <w:tcPr>
            <w:tcW w:w="2098" w:type="dxa"/>
            <w:shd w:val="clear" w:color="auto" w:fill="D3ECD0"/>
          </w:tcPr>
          <w:p w14:paraId="754058E5" w14:textId="77777777" w:rsidR="000A79D7" w:rsidRPr="000A79D7" w:rsidRDefault="000A79D7" w:rsidP="00AB439D">
            <w:pPr>
              <w:pStyle w:val="BPIKKompetenzBeschreibung"/>
              <w:spacing w:before="40" w:after="40" w:line="240" w:lineRule="auto"/>
              <w:jc w:val="left"/>
            </w:pPr>
            <w:r>
              <w:t xml:space="preserve">(2) </w:t>
            </w:r>
            <w:r w:rsidR="006616FD" w:rsidRPr="000A79D7">
              <w:t>performative und interaktive Kunstformen rezipieren</w:t>
            </w:r>
          </w:p>
        </w:tc>
      </w:tr>
      <w:tr w:rsidR="000A79D7" w14:paraId="59B72B4A" w14:textId="77777777" w:rsidTr="00AB439D">
        <w:trPr>
          <w:trHeight w:val="341"/>
        </w:trPr>
        <w:tc>
          <w:tcPr>
            <w:tcW w:w="2830" w:type="dxa"/>
            <w:shd w:val="clear" w:color="auto" w:fill="FAFFE8"/>
          </w:tcPr>
          <w:p w14:paraId="3B1FCA3C" w14:textId="77777777" w:rsidR="000A79D7" w:rsidRPr="000A79D7" w:rsidRDefault="000A79D7" w:rsidP="00AB439D">
            <w:pPr>
              <w:pStyle w:val="BPIKKompetenzBeschreibung"/>
              <w:spacing w:before="40" w:after="40" w:line="240" w:lineRule="auto"/>
              <w:jc w:val="left"/>
            </w:pPr>
            <w:r>
              <w:t xml:space="preserve">(3) </w:t>
            </w:r>
            <w:r w:rsidRPr="000A79D7">
              <w:t>in offenen Gestaltungsprozessen mit unterschiedlichen Materialien und Medien grafische Spuren und Strukturen zur Bildfindung erproben und gezielt einsetzen</w:t>
            </w:r>
          </w:p>
        </w:tc>
        <w:tc>
          <w:tcPr>
            <w:tcW w:w="2552" w:type="dxa"/>
            <w:shd w:val="clear" w:color="auto" w:fill="FDE9D9" w:themeFill="accent6" w:themeFillTint="33"/>
          </w:tcPr>
          <w:p w14:paraId="4D9E2362" w14:textId="77777777" w:rsidR="000A79D7" w:rsidRPr="000A79D7" w:rsidRDefault="000A79D7" w:rsidP="00AB439D">
            <w:pPr>
              <w:pStyle w:val="BPIKKompetenzBeschreibung"/>
              <w:spacing w:before="40" w:after="40" w:line="240" w:lineRule="auto"/>
              <w:jc w:val="left"/>
            </w:pPr>
            <w:r>
              <w:t xml:space="preserve">(3) </w:t>
            </w:r>
            <w:r w:rsidR="006616FD" w:rsidRPr="000A79D7">
              <w:t>malerische Mittel abbildhaft, abstrakt und experimentell anwenden und dabei Sichtbares, Vorstellbares, Ideen und Emotionen darstellen</w:t>
            </w:r>
          </w:p>
        </w:tc>
        <w:tc>
          <w:tcPr>
            <w:tcW w:w="2256" w:type="dxa"/>
            <w:shd w:val="clear" w:color="auto" w:fill="FDD1D7"/>
          </w:tcPr>
          <w:p w14:paraId="46C03A4C" w14:textId="77777777" w:rsidR="000A79D7" w:rsidRPr="000A79D7" w:rsidRDefault="000A79D7" w:rsidP="00AB439D">
            <w:pPr>
              <w:pStyle w:val="BPIKKompetenzBeschreibung"/>
              <w:spacing w:before="40" w:after="40" w:line="240" w:lineRule="auto"/>
              <w:jc w:val="left"/>
            </w:pPr>
            <w:r>
              <w:t xml:space="preserve">(3) </w:t>
            </w:r>
            <w:r w:rsidRPr="000A79D7">
              <w:t>plastische Verfahren und Ausdrucksformen abbildend, abstrahierend und experimentell einsetzen</w:t>
            </w:r>
          </w:p>
        </w:tc>
        <w:tc>
          <w:tcPr>
            <w:tcW w:w="3130" w:type="dxa"/>
            <w:shd w:val="clear" w:color="auto" w:fill="E5DFEC" w:themeFill="accent4" w:themeFillTint="33"/>
          </w:tcPr>
          <w:p w14:paraId="57894B54" w14:textId="77777777" w:rsidR="000A79D7" w:rsidRPr="000A79D7" w:rsidRDefault="000A79D7" w:rsidP="00AB439D">
            <w:pPr>
              <w:pStyle w:val="BPIKKompetenzBeschreibung"/>
              <w:spacing w:before="40" w:after="40" w:line="240" w:lineRule="auto"/>
              <w:jc w:val="left"/>
            </w:pPr>
            <w:r>
              <w:t xml:space="preserve">(3) </w:t>
            </w:r>
            <w:r w:rsidR="006616FD" w:rsidRPr="000A79D7">
              <w:t>architektonische Ideen und Visionen entwickeln und diese analog oder digital entwerfen</w:t>
            </w:r>
          </w:p>
        </w:tc>
        <w:tc>
          <w:tcPr>
            <w:tcW w:w="2410" w:type="dxa"/>
            <w:shd w:val="clear" w:color="auto" w:fill="C2D5EC"/>
          </w:tcPr>
          <w:p w14:paraId="491BA790" w14:textId="77777777" w:rsidR="000A79D7" w:rsidRPr="000A79D7" w:rsidRDefault="000A79D7" w:rsidP="00AB439D">
            <w:pPr>
              <w:pStyle w:val="BPIKKompetenzBeschreibung"/>
              <w:spacing w:before="40" w:after="40" w:line="240" w:lineRule="auto"/>
              <w:jc w:val="left"/>
            </w:pPr>
          </w:p>
          <w:p w14:paraId="44F8152E" w14:textId="77777777" w:rsidR="000A79D7" w:rsidRPr="000A79D7" w:rsidRDefault="000A79D7" w:rsidP="00AB439D">
            <w:pPr>
              <w:pStyle w:val="BPIKKompetenzBeschreibung"/>
              <w:spacing w:before="40" w:after="40" w:line="240" w:lineRule="auto"/>
              <w:jc w:val="left"/>
            </w:pPr>
            <w:r w:rsidRPr="000A79D7">
              <w:t xml:space="preserve"> </w:t>
            </w:r>
          </w:p>
        </w:tc>
        <w:tc>
          <w:tcPr>
            <w:tcW w:w="2098" w:type="dxa"/>
            <w:shd w:val="clear" w:color="auto" w:fill="D3ECD0"/>
          </w:tcPr>
          <w:p w14:paraId="7C5165B1" w14:textId="77777777" w:rsidR="000A79D7" w:rsidRPr="000A79D7" w:rsidRDefault="000A79D7" w:rsidP="00AB439D">
            <w:pPr>
              <w:pStyle w:val="BPIKKompetenzBeschreibung"/>
              <w:spacing w:before="40" w:after="40" w:line="240" w:lineRule="auto"/>
              <w:jc w:val="left"/>
            </w:pPr>
          </w:p>
        </w:tc>
      </w:tr>
      <w:tr w:rsidR="000A79D7" w14:paraId="485ED5BF" w14:textId="77777777" w:rsidTr="00AB439D">
        <w:trPr>
          <w:trHeight w:val="341"/>
        </w:trPr>
        <w:tc>
          <w:tcPr>
            <w:tcW w:w="2830" w:type="dxa"/>
            <w:shd w:val="clear" w:color="auto" w:fill="FAFFE8"/>
          </w:tcPr>
          <w:p w14:paraId="6304969D" w14:textId="77777777" w:rsidR="000A79D7" w:rsidRPr="000A79D7" w:rsidRDefault="000A79D7" w:rsidP="00AB439D">
            <w:pPr>
              <w:pStyle w:val="BPIKKompetenzBeschreibung"/>
              <w:spacing w:before="40" w:after="40" w:line="240" w:lineRule="auto"/>
              <w:jc w:val="left"/>
            </w:pPr>
          </w:p>
          <w:p w14:paraId="4212F1FB" w14:textId="77777777" w:rsidR="000A79D7" w:rsidRPr="000A79D7" w:rsidRDefault="000A79D7" w:rsidP="00AB439D">
            <w:pPr>
              <w:pStyle w:val="BPIKKompetenzBeschreibung"/>
              <w:spacing w:before="40" w:after="40" w:line="240" w:lineRule="auto"/>
              <w:jc w:val="left"/>
            </w:pPr>
          </w:p>
        </w:tc>
        <w:tc>
          <w:tcPr>
            <w:tcW w:w="2552" w:type="dxa"/>
            <w:shd w:val="clear" w:color="auto" w:fill="FDE9D9" w:themeFill="accent6" w:themeFillTint="33"/>
          </w:tcPr>
          <w:p w14:paraId="6BDA0811" w14:textId="77777777" w:rsidR="000A79D7" w:rsidRPr="000A79D7" w:rsidRDefault="000A79D7" w:rsidP="00AB439D">
            <w:pPr>
              <w:pStyle w:val="BPIKKompetenzBeschreibung"/>
              <w:spacing w:before="40" w:after="40" w:line="240" w:lineRule="auto"/>
              <w:jc w:val="left"/>
            </w:pPr>
          </w:p>
          <w:p w14:paraId="267464DF" w14:textId="77777777" w:rsidR="000A79D7" w:rsidRPr="000A79D7" w:rsidRDefault="000A79D7" w:rsidP="00AB439D">
            <w:pPr>
              <w:pStyle w:val="BPIKKompetenzBeschreibung"/>
              <w:spacing w:before="40" w:after="40" w:line="240" w:lineRule="auto"/>
              <w:jc w:val="left"/>
            </w:pPr>
          </w:p>
        </w:tc>
        <w:tc>
          <w:tcPr>
            <w:tcW w:w="2256" w:type="dxa"/>
            <w:shd w:val="clear" w:color="auto" w:fill="FDD1D7"/>
          </w:tcPr>
          <w:p w14:paraId="5A4E79AE" w14:textId="77777777" w:rsidR="000A79D7" w:rsidRPr="000A79D7" w:rsidRDefault="000A79D7" w:rsidP="00AB439D">
            <w:pPr>
              <w:pStyle w:val="BPIKKompetenzBeschreibung"/>
              <w:spacing w:before="40" w:after="40" w:line="240" w:lineRule="auto"/>
              <w:jc w:val="left"/>
            </w:pPr>
          </w:p>
          <w:p w14:paraId="0F9EEAAC" w14:textId="77777777" w:rsidR="000A79D7" w:rsidRPr="000A79D7" w:rsidRDefault="000A79D7" w:rsidP="00AB439D">
            <w:pPr>
              <w:pStyle w:val="BPIKKompetenzBeschreibung"/>
              <w:spacing w:before="40" w:after="40" w:line="240" w:lineRule="auto"/>
              <w:jc w:val="left"/>
            </w:pPr>
          </w:p>
        </w:tc>
        <w:tc>
          <w:tcPr>
            <w:tcW w:w="3130" w:type="dxa"/>
            <w:shd w:val="clear" w:color="auto" w:fill="E5DFEC" w:themeFill="accent4" w:themeFillTint="33"/>
          </w:tcPr>
          <w:p w14:paraId="5E9D6F85" w14:textId="77777777" w:rsidR="000A79D7" w:rsidRPr="000A79D7" w:rsidRDefault="000A79D7" w:rsidP="00AB439D">
            <w:pPr>
              <w:pStyle w:val="BPIKKompetenzBeschreibung"/>
              <w:spacing w:before="40" w:after="40" w:line="240" w:lineRule="auto"/>
              <w:jc w:val="left"/>
            </w:pPr>
            <w:r>
              <w:t xml:space="preserve">(4) </w:t>
            </w:r>
            <w:r w:rsidR="006616FD" w:rsidRPr="000A79D7">
              <w:t>die Wechselwirkung zwischen Bauwerk, Bauensemble und Umraum erkennen und auf ihre Beziehung hin untersuchen</w:t>
            </w:r>
          </w:p>
        </w:tc>
        <w:tc>
          <w:tcPr>
            <w:tcW w:w="2410" w:type="dxa"/>
            <w:shd w:val="clear" w:color="auto" w:fill="C2D5EC"/>
          </w:tcPr>
          <w:p w14:paraId="58CC3382" w14:textId="77777777" w:rsidR="000A79D7" w:rsidRPr="000A79D7" w:rsidRDefault="000A79D7" w:rsidP="00AB439D">
            <w:pPr>
              <w:pStyle w:val="BPIKKompetenzBeschreibung"/>
              <w:spacing w:before="40" w:after="40" w:line="240" w:lineRule="auto"/>
              <w:jc w:val="left"/>
            </w:pPr>
          </w:p>
        </w:tc>
        <w:tc>
          <w:tcPr>
            <w:tcW w:w="2098" w:type="dxa"/>
            <w:shd w:val="clear" w:color="auto" w:fill="D3ECD0"/>
          </w:tcPr>
          <w:p w14:paraId="2CE0D52C" w14:textId="77777777" w:rsidR="000A79D7" w:rsidRPr="000A79D7" w:rsidRDefault="000A79D7" w:rsidP="00AB439D">
            <w:pPr>
              <w:pStyle w:val="BPIKKompetenzBeschreibung"/>
              <w:spacing w:before="40" w:after="40" w:line="240" w:lineRule="auto"/>
              <w:jc w:val="left"/>
            </w:pPr>
          </w:p>
        </w:tc>
      </w:tr>
      <w:tr w:rsidR="000A79D7" w14:paraId="0D39A15F" w14:textId="77777777" w:rsidTr="00AB439D">
        <w:trPr>
          <w:trHeight w:val="341"/>
        </w:trPr>
        <w:tc>
          <w:tcPr>
            <w:tcW w:w="2830" w:type="dxa"/>
            <w:shd w:val="clear" w:color="auto" w:fill="FAFFE8"/>
          </w:tcPr>
          <w:p w14:paraId="793AD547" w14:textId="77777777" w:rsidR="000A79D7" w:rsidRPr="000A79D7" w:rsidRDefault="000A79D7" w:rsidP="00AB439D">
            <w:pPr>
              <w:pStyle w:val="BPIKKompetenzBeschreibung"/>
              <w:spacing w:before="40" w:after="40" w:line="240" w:lineRule="auto"/>
              <w:jc w:val="left"/>
            </w:pPr>
          </w:p>
        </w:tc>
        <w:tc>
          <w:tcPr>
            <w:tcW w:w="2552" w:type="dxa"/>
            <w:shd w:val="clear" w:color="auto" w:fill="FDE9D9" w:themeFill="accent6" w:themeFillTint="33"/>
          </w:tcPr>
          <w:p w14:paraId="6114FD47" w14:textId="77777777" w:rsidR="000A79D7" w:rsidRPr="000A79D7" w:rsidRDefault="000A79D7" w:rsidP="00AB439D">
            <w:pPr>
              <w:pStyle w:val="BPIKKompetenzBeschreibung"/>
              <w:spacing w:before="40" w:after="40" w:line="240" w:lineRule="auto"/>
              <w:jc w:val="left"/>
            </w:pPr>
          </w:p>
        </w:tc>
        <w:tc>
          <w:tcPr>
            <w:tcW w:w="2256" w:type="dxa"/>
            <w:shd w:val="clear" w:color="auto" w:fill="FDD1D7"/>
          </w:tcPr>
          <w:p w14:paraId="7D4569A0" w14:textId="77777777" w:rsidR="000A79D7" w:rsidRPr="000A79D7" w:rsidRDefault="000A79D7" w:rsidP="00AB439D">
            <w:pPr>
              <w:pStyle w:val="BPIKKompetenzBeschreibung"/>
              <w:spacing w:before="40" w:after="40" w:line="240" w:lineRule="auto"/>
              <w:jc w:val="left"/>
            </w:pPr>
          </w:p>
        </w:tc>
        <w:tc>
          <w:tcPr>
            <w:tcW w:w="3130" w:type="dxa"/>
            <w:shd w:val="clear" w:color="auto" w:fill="E5DFEC" w:themeFill="accent4" w:themeFillTint="33"/>
          </w:tcPr>
          <w:p w14:paraId="6AF22159" w14:textId="77777777" w:rsidR="000A79D7" w:rsidRPr="000A79D7" w:rsidRDefault="000A79D7" w:rsidP="00AB439D">
            <w:pPr>
              <w:pStyle w:val="BPIKKompetenzBeschreibung"/>
              <w:spacing w:before="40" w:after="40" w:line="240" w:lineRule="auto"/>
              <w:jc w:val="left"/>
            </w:pPr>
            <w:r>
              <w:t xml:space="preserve">(5) </w:t>
            </w:r>
            <w:r w:rsidRPr="000A79D7">
              <w:t>das Bezugsfeld Architektur-Technik-Umwelt-Natur untersuchen und ein Bewusstsein für die Wechselbeziehung zwischen Mensch und Architektur entwickeln</w:t>
            </w:r>
          </w:p>
        </w:tc>
        <w:tc>
          <w:tcPr>
            <w:tcW w:w="2410" w:type="dxa"/>
            <w:shd w:val="clear" w:color="auto" w:fill="C2D5EC"/>
          </w:tcPr>
          <w:p w14:paraId="65F647D8" w14:textId="77777777" w:rsidR="000A79D7" w:rsidRPr="000A79D7" w:rsidRDefault="000A79D7" w:rsidP="00AB439D">
            <w:pPr>
              <w:pStyle w:val="BPIKKompetenzBeschreibung"/>
              <w:spacing w:before="40" w:after="40" w:line="240" w:lineRule="auto"/>
              <w:jc w:val="left"/>
            </w:pPr>
          </w:p>
        </w:tc>
        <w:tc>
          <w:tcPr>
            <w:tcW w:w="2098" w:type="dxa"/>
            <w:shd w:val="clear" w:color="auto" w:fill="D3ECD0"/>
          </w:tcPr>
          <w:p w14:paraId="342F14B1" w14:textId="77777777" w:rsidR="000A79D7" w:rsidRPr="000A79D7" w:rsidRDefault="000A79D7" w:rsidP="00AB439D">
            <w:pPr>
              <w:pStyle w:val="BPIKKompetenzBeschreibung"/>
              <w:spacing w:before="40" w:after="40" w:line="240" w:lineRule="auto"/>
              <w:jc w:val="left"/>
            </w:pPr>
          </w:p>
        </w:tc>
      </w:tr>
      <w:tr w:rsidR="000A79D7" w14:paraId="3C22C2C0" w14:textId="77777777" w:rsidTr="00AB439D">
        <w:trPr>
          <w:trHeight w:val="341"/>
        </w:trPr>
        <w:tc>
          <w:tcPr>
            <w:tcW w:w="2830" w:type="dxa"/>
            <w:shd w:val="clear" w:color="auto" w:fill="FAFFE8"/>
          </w:tcPr>
          <w:p w14:paraId="76F06F88" w14:textId="77777777" w:rsidR="000A79D7" w:rsidRPr="000A79D7" w:rsidRDefault="000A79D7" w:rsidP="00AB439D">
            <w:pPr>
              <w:pStyle w:val="BPVerweisLeitprinzip"/>
              <w:tabs>
                <w:tab w:val="clear" w:pos="851"/>
                <w:tab w:val="left" w:pos="589"/>
              </w:tabs>
              <w:ind w:left="589" w:hanging="589"/>
            </w:pPr>
            <w:r w:rsidRPr="000A79D7">
              <w:t xml:space="preserve">BO </w:t>
            </w:r>
            <w:r w:rsidRPr="000A79D7">
              <w:tab/>
              <w:t>Fachspezifische und handlungsorientierte Zugänge zur Arbeits- und Berufswelt</w:t>
            </w:r>
          </w:p>
        </w:tc>
        <w:tc>
          <w:tcPr>
            <w:tcW w:w="2552" w:type="dxa"/>
            <w:shd w:val="clear" w:color="auto" w:fill="FDE9D9" w:themeFill="accent6" w:themeFillTint="33"/>
          </w:tcPr>
          <w:p w14:paraId="00F3B330" w14:textId="77777777" w:rsidR="000A79D7" w:rsidRPr="000A79D7" w:rsidRDefault="000A79D7" w:rsidP="00AB439D">
            <w:pPr>
              <w:pStyle w:val="BPVerweisLeitprinzip"/>
              <w:tabs>
                <w:tab w:val="clear" w:pos="851"/>
                <w:tab w:val="left" w:pos="589"/>
              </w:tabs>
              <w:ind w:left="589" w:hanging="589"/>
            </w:pPr>
            <w:r w:rsidRPr="000A79D7">
              <w:t xml:space="preserve">BO </w:t>
            </w:r>
            <w:r w:rsidRPr="000A79D7">
              <w:tab/>
              <w:t>Fachspezifische und handlungsorientierte Zugänge zur Arbeits- und Berufswelt</w:t>
            </w:r>
          </w:p>
        </w:tc>
        <w:tc>
          <w:tcPr>
            <w:tcW w:w="2256" w:type="dxa"/>
            <w:shd w:val="clear" w:color="auto" w:fill="FDD1D7"/>
          </w:tcPr>
          <w:p w14:paraId="202DF8CE" w14:textId="6787BED7" w:rsidR="000A79D7" w:rsidRPr="000A79D7" w:rsidRDefault="000A79D7" w:rsidP="000A79D7">
            <w:pPr>
              <w:pStyle w:val="BPVerweisLeitprinzip"/>
            </w:pPr>
            <w:r w:rsidRPr="000A79D7">
              <w:t xml:space="preserve">BO </w:t>
            </w:r>
            <w:r w:rsidR="00AB439D">
              <w:t xml:space="preserve"> </w:t>
            </w:r>
            <w:r w:rsidRPr="000A79D7">
              <w:t>Fachspezifische und handlungsorientierte Zugänge zur Arbeits- und Berufswelt</w:t>
            </w:r>
          </w:p>
        </w:tc>
        <w:tc>
          <w:tcPr>
            <w:tcW w:w="3130" w:type="dxa"/>
            <w:shd w:val="clear" w:color="auto" w:fill="E5DFEC" w:themeFill="accent4" w:themeFillTint="33"/>
          </w:tcPr>
          <w:p w14:paraId="1EAEAB70" w14:textId="71576966" w:rsidR="000A79D7" w:rsidRPr="000A79D7" w:rsidRDefault="000A79D7" w:rsidP="00AB439D">
            <w:pPr>
              <w:pStyle w:val="BPVerweisLeitprinzip"/>
              <w:tabs>
                <w:tab w:val="clear" w:pos="851"/>
                <w:tab w:val="left" w:pos="589"/>
              </w:tabs>
              <w:ind w:left="589" w:hanging="589"/>
            </w:pPr>
            <w:r w:rsidRPr="000A79D7">
              <w:t xml:space="preserve">BO </w:t>
            </w:r>
            <w:r w:rsidR="00AB439D">
              <w:t xml:space="preserve"> </w:t>
            </w:r>
            <w:r w:rsidRPr="000A79D7">
              <w:t>Fachspezifische und handlungsorientierte Zugänge zur Arbeits- und Berufswelt</w:t>
            </w:r>
          </w:p>
          <w:p w14:paraId="2DF3BA4C" w14:textId="417358C1" w:rsidR="000A79D7" w:rsidRPr="000A79D7" w:rsidRDefault="000A79D7" w:rsidP="00AB439D">
            <w:pPr>
              <w:pStyle w:val="BPVerweisLeitprinzip"/>
              <w:tabs>
                <w:tab w:val="clear" w:pos="851"/>
                <w:tab w:val="left" w:pos="589"/>
              </w:tabs>
              <w:ind w:left="589" w:hanging="589"/>
            </w:pPr>
            <w:r w:rsidRPr="000A79D7">
              <w:t>BNE Werte und Normen in Entscheidungssituationen</w:t>
            </w:r>
          </w:p>
        </w:tc>
        <w:tc>
          <w:tcPr>
            <w:tcW w:w="2410" w:type="dxa"/>
            <w:shd w:val="clear" w:color="auto" w:fill="C2D5EC"/>
          </w:tcPr>
          <w:p w14:paraId="7A3EC631" w14:textId="77777777" w:rsidR="000A79D7" w:rsidRPr="000A79D7" w:rsidRDefault="000A79D7" w:rsidP="00AB439D">
            <w:pPr>
              <w:pStyle w:val="BPVerweisLeitprinzip"/>
              <w:tabs>
                <w:tab w:val="clear" w:pos="851"/>
                <w:tab w:val="left" w:pos="589"/>
              </w:tabs>
              <w:ind w:left="589" w:hanging="589"/>
            </w:pPr>
            <w:r w:rsidRPr="000A79D7">
              <w:t xml:space="preserve">BO </w:t>
            </w:r>
            <w:r w:rsidRPr="000A79D7">
              <w:tab/>
              <w:t>Fachspezifische und handlungsorientierte Zugänge zur Arbeits- und Berufswelt</w:t>
            </w:r>
          </w:p>
          <w:p w14:paraId="5546406C" w14:textId="0A79113B" w:rsidR="000A79D7" w:rsidRDefault="000A79D7" w:rsidP="00AB439D">
            <w:pPr>
              <w:pStyle w:val="BPVerweisLeitprinzip"/>
              <w:tabs>
                <w:tab w:val="clear" w:pos="851"/>
                <w:tab w:val="left" w:pos="589"/>
              </w:tabs>
              <w:ind w:left="589" w:hanging="589"/>
            </w:pPr>
            <w:r w:rsidRPr="000A79D7">
              <w:t>MB</w:t>
            </w:r>
            <w:r w:rsidR="00AB439D">
              <w:t xml:space="preserve">  </w:t>
            </w:r>
          </w:p>
          <w:p w14:paraId="03223FC9" w14:textId="6196BB0E" w:rsidR="006616FD" w:rsidRPr="000A79D7" w:rsidRDefault="006616FD" w:rsidP="00AB439D">
            <w:pPr>
              <w:pStyle w:val="BPVerweisLeitprinzip"/>
              <w:tabs>
                <w:tab w:val="clear" w:pos="851"/>
                <w:tab w:val="left" w:pos="589"/>
              </w:tabs>
              <w:ind w:left="589" w:hanging="589"/>
            </w:pPr>
            <w:r>
              <w:t xml:space="preserve">VB  </w:t>
            </w:r>
            <w:r w:rsidR="00AB439D">
              <w:t>Medien als Einflussfaktoren</w:t>
            </w:r>
          </w:p>
        </w:tc>
        <w:tc>
          <w:tcPr>
            <w:tcW w:w="2098" w:type="dxa"/>
            <w:shd w:val="clear" w:color="auto" w:fill="D3ECD0"/>
          </w:tcPr>
          <w:p w14:paraId="53F5BF9C" w14:textId="77777777" w:rsidR="000A79D7" w:rsidRPr="000A79D7" w:rsidRDefault="000A79D7" w:rsidP="00AB439D">
            <w:pPr>
              <w:pStyle w:val="BPVerweisLeitprinzip"/>
              <w:tabs>
                <w:tab w:val="clear" w:pos="851"/>
                <w:tab w:val="left" w:pos="589"/>
              </w:tabs>
              <w:ind w:left="589" w:hanging="589"/>
            </w:pPr>
            <w:r w:rsidRPr="000A79D7">
              <w:t xml:space="preserve">Literatur und Theater </w:t>
            </w:r>
          </w:p>
          <w:p w14:paraId="15C4A95B" w14:textId="1656573A" w:rsidR="000A79D7" w:rsidRPr="000A79D7" w:rsidRDefault="000A79D7" w:rsidP="00AB439D">
            <w:pPr>
              <w:pStyle w:val="BPVerweisLeitprinzip"/>
              <w:tabs>
                <w:tab w:val="clear" w:pos="851"/>
                <w:tab w:val="left" w:pos="461"/>
              </w:tabs>
              <w:ind w:left="461" w:hanging="461"/>
            </w:pPr>
            <w:r w:rsidRPr="000A79D7">
              <w:t>BO</w:t>
            </w:r>
            <w:r w:rsidR="00AB439D">
              <w:t xml:space="preserve"> </w:t>
            </w:r>
            <w:r w:rsidRPr="000A79D7">
              <w:t>Fachspezifische und handlungsorientierte Zugänge zur Arbeits- und Berufswelt</w:t>
            </w:r>
          </w:p>
          <w:p w14:paraId="34A1BED5" w14:textId="3CEB83F9" w:rsidR="000A79D7" w:rsidRPr="000A79D7" w:rsidRDefault="000A79D7" w:rsidP="00AB439D">
            <w:pPr>
              <w:pStyle w:val="BPVerweisLeitprinzip"/>
              <w:tabs>
                <w:tab w:val="clear" w:pos="851"/>
                <w:tab w:val="left" w:pos="461"/>
              </w:tabs>
              <w:ind w:left="461" w:hanging="461"/>
            </w:pPr>
            <w:r w:rsidRPr="000A79D7">
              <w:t>MB Produktion und Präsentation</w:t>
            </w:r>
          </w:p>
        </w:tc>
      </w:tr>
    </w:tbl>
    <w:p w14:paraId="1C9623A2" w14:textId="77777777" w:rsidR="004A7CE3" w:rsidRDefault="004A7CE3"/>
    <w:p w14:paraId="7795CCB0" w14:textId="515903CB" w:rsidR="00AB439D" w:rsidRDefault="00AB439D">
      <w:r>
        <w:br w:type="page"/>
      </w:r>
    </w:p>
    <w:p w14:paraId="5EF37250" w14:textId="77777777" w:rsidR="000A79D7" w:rsidRDefault="000A79D7"/>
    <w:p w14:paraId="48DA637D" w14:textId="77777777" w:rsidR="00566F24" w:rsidRDefault="00566F24"/>
    <w:tbl>
      <w:tblPr>
        <w:tblStyle w:val="Tabellenraster"/>
        <w:tblW w:w="0" w:type="auto"/>
        <w:tblLook w:val="04A0" w:firstRow="1" w:lastRow="0" w:firstColumn="1" w:lastColumn="0" w:noHBand="0" w:noVBand="1"/>
      </w:tblPr>
      <w:tblGrid>
        <w:gridCol w:w="15304"/>
      </w:tblGrid>
      <w:tr w:rsidR="00B66F7F" w14:paraId="716A42DA" w14:textId="77777777" w:rsidTr="00AB439D">
        <w:tc>
          <w:tcPr>
            <w:tcW w:w="15304" w:type="dxa"/>
            <w:shd w:val="clear" w:color="auto" w:fill="A6A6A6" w:themeFill="background1" w:themeFillShade="A6"/>
          </w:tcPr>
          <w:p w14:paraId="7D278D72" w14:textId="77777777" w:rsidR="00B66F7F" w:rsidRDefault="00B66F7F">
            <w:r>
              <w:t>BILD</w:t>
            </w:r>
          </w:p>
        </w:tc>
      </w:tr>
      <w:tr w:rsidR="00B66F7F" w14:paraId="25A8B881" w14:textId="77777777" w:rsidTr="00AB439D">
        <w:tc>
          <w:tcPr>
            <w:tcW w:w="15304" w:type="dxa"/>
            <w:shd w:val="clear" w:color="auto" w:fill="D9D9D9" w:themeFill="background1" w:themeFillShade="D9"/>
          </w:tcPr>
          <w:p w14:paraId="14938987" w14:textId="77777777" w:rsidR="000A79D7" w:rsidRPr="002D5155" w:rsidRDefault="000A79D7" w:rsidP="000A79D7">
            <w:pPr>
              <w:pStyle w:val="BPIKKompetenzBeschreibung"/>
            </w:pPr>
            <w:r w:rsidRPr="002D5155">
              <w:t>Die</w:t>
            </w:r>
            <w:r w:rsidR="006616FD">
              <w:t xml:space="preserve"> Schülerinnen und Schüler rezipieren</w:t>
            </w:r>
            <w:r w:rsidRPr="002D5155">
              <w:t xml:space="preserve"> Bil</w:t>
            </w:r>
            <w:r w:rsidR="006616FD">
              <w:t>der umfassend, auch im Original</w:t>
            </w:r>
            <w:r w:rsidRPr="002D5155">
              <w:t>. Sie erleben, analysieren, strukturieren, interpretieren und reflektieren Bilder und setzen diese in Wechselbeziehung zum eigenen Tun. Die Schülerinnen und Schüler benennen, begründen und präsentieren ihre Erkenntnisse zu Bildern. In der Auseinandersetzung mit historischen und aktuellen Bildern reflektieren sie historische und moderne Kunstbegriffe. Sie finden und nutzen Orte für Bildrezeption. Sie entwickeln ein Bewusstsein für kulturelles Erbe.</w:t>
            </w:r>
          </w:p>
          <w:p w14:paraId="7B0FBBE8" w14:textId="77777777" w:rsidR="00B66F7F" w:rsidRDefault="000A79D7" w:rsidP="000A79D7">
            <w:pPr>
              <w:pStyle w:val="BPIKKompetenzBeschreibung"/>
            </w:pPr>
            <w:r w:rsidRPr="00060DB9">
              <w:t>Die Schülerinnen und Schüler können</w:t>
            </w:r>
          </w:p>
        </w:tc>
      </w:tr>
      <w:tr w:rsidR="002D70E7" w14:paraId="25C37BA7" w14:textId="77777777" w:rsidTr="00AB439D">
        <w:tc>
          <w:tcPr>
            <w:tcW w:w="15304" w:type="dxa"/>
            <w:shd w:val="clear" w:color="auto" w:fill="F2F2F2" w:themeFill="background1" w:themeFillShade="F2"/>
          </w:tcPr>
          <w:p w14:paraId="54BB0534" w14:textId="77777777" w:rsidR="002D70E7" w:rsidRPr="002D70E7" w:rsidRDefault="002D70E7" w:rsidP="002D70E7">
            <w:pPr>
              <w:pStyle w:val="BPIKTeilkompetenzBeschreibung"/>
              <w:numPr>
                <w:ilvl w:val="0"/>
                <w:numId w:val="2"/>
              </w:numPr>
            </w:pPr>
            <w:r w:rsidRPr="002D70E7">
              <w:t>Bilder umfassend wahrnehmen und mit geeigneten Mitteln strukturiert und differenziert beschreiben</w:t>
            </w:r>
          </w:p>
        </w:tc>
      </w:tr>
      <w:tr w:rsidR="002D70E7" w14:paraId="4F76B90F" w14:textId="77777777" w:rsidTr="00AB439D">
        <w:tc>
          <w:tcPr>
            <w:tcW w:w="15304" w:type="dxa"/>
            <w:shd w:val="clear" w:color="auto" w:fill="F2F2F2" w:themeFill="background1" w:themeFillShade="F2"/>
          </w:tcPr>
          <w:p w14:paraId="576B6E63" w14:textId="77777777" w:rsidR="002D70E7" w:rsidRPr="002D70E7" w:rsidRDefault="002D70E7" w:rsidP="002D70E7">
            <w:pPr>
              <w:pStyle w:val="BPIKTeilkompetenzBeschreibung"/>
              <w:numPr>
                <w:ilvl w:val="0"/>
                <w:numId w:val="2"/>
              </w:numPr>
            </w:pPr>
            <w:r w:rsidRPr="002D70E7">
              <w:t>Bilder verbal und non-verbal analysieren, vergleichen und kommentieren</w:t>
            </w:r>
          </w:p>
        </w:tc>
      </w:tr>
      <w:tr w:rsidR="002D70E7" w14:paraId="41C81F84" w14:textId="77777777" w:rsidTr="00AB439D">
        <w:tc>
          <w:tcPr>
            <w:tcW w:w="15304" w:type="dxa"/>
            <w:shd w:val="clear" w:color="auto" w:fill="F2F2F2" w:themeFill="background1" w:themeFillShade="F2"/>
          </w:tcPr>
          <w:p w14:paraId="18A66046" w14:textId="77777777" w:rsidR="002D70E7" w:rsidRPr="002D70E7" w:rsidRDefault="002D70E7" w:rsidP="006616FD">
            <w:pPr>
              <w:pStyle w:val="BPIKTeilkompetenzBeschreibung"/>
              <w:numPr>
                <w:ilvl w:val="0"/>
                <w:numId w:val="2"/>
              </w:numPr>
            </w:pPr>
            <w:r w:rsidRPr="002D70E7">
              <w:t xml:space="preserve">Bilder differenziert </w:t>
            </w:r>
            <w:r w:rsidR="006616FD" w:rsidRPr="002D70E7">
              <w:t xml:space="preserve">erschließen </w:t>
            </w:r>
            <w:r w:rsidRPr="002D70E7">
              <w:t>(formal, thematisch, motivisch und auf ihre Funktion hin)</w:t>
            </w:r>
          </w:p>
        </w:tc>
      </w:tr>
      <w:tr w:rsidR="002D70E7" w14:paraId="551FC3B5" w14:textId="77777777" w:rsidTr="00AB439D">
        <w:tc>
          <w:tcPr>
            <w:tcW w:w="15304" w:type="dxa"/>
            <w:shd w:val="clear" w:color="auto" w:fill="F2F2F2" w:themeFill="background1" w:themeFillShade="F2"/>
          </w:tcPr>
          <w:p w14:paraId="356DECBC" w14:textId="77777777" w:rsidR="002D70E7" w:rsidRPr="002D70E7" w:rsidRDefault="002D70E7" w:rsidP="002D70E7">
            <w:pPr>
              <w:pStyle w:val="BPIKTeilkompetenzBeschreibung"/>
              <w:numPr>
                <w:ilvl w:val="0"/>
                <w:numId w:val="2"/>
              </w:numPr>
            </w:pPr>
            <w:r w:rsidRPr="002D70E7">
              <w:t>Bilder charakterisieren, interpretieren und beurteilen</w:t>
            </w:r>
          </w:p>
        </w:tc>
      </w:tr>
      <w:tr w:rsidR="002D70E7" w14:paraId="30FB810F" w14:textId="77777777" w:rsidTr="00AB439D">
        <w:tc>
          <w:tcPr>
            <w:tcW w:w="15304" w:type="dxa"/>
            <w:shd w:val="clear" w:color="auto" w:fill="F2F2F2" w:themeFill="background1" w:themeFillShade="F2"/>
          </w:tcPr>
          <w:p w14:paraId="3EA3E7AC" w14:textId="77777777" w:rsidR="002D70E7" w:rsidRPr="002D70E7" w:rsidRDefault="006616FD" w:rsidP="002D70E7">
            <w:pPr>
              <w:pStyle w:val="BPIKTeilkompetenzBeschreibung"/>
              <w:numPr>
                <w:ilvl w:val="0"/>
                <w:numId w:val="2"/>
              </w:numPr>
            </w:pPr>
            <w:r w:rsidRPr="002D70E7">
              <w:t>Bilder in Beziehung zur Produktion und im Wechselspiel mit dem eigenen Tun untersuchen und dabei die enge Verbindung von Erleben und Schaffen (die Verknüpfung der reflektierenden Wahrnehmung mit dem produktiven Schaffensprozess) erkennen, reflektieren und weiterentwickeln</w:t>
            </w:r>
          </w:p>
        </w:tc>
      </w:tr>
      <w:tr w:rsidR="002D70E7" w14:paraId="0F6F8D06" w14:textId="77777777" w:rsidTr="00AB439D">
        <w:tc>
          <w:tcPr>
            <w:tcW w:w="15304" w:type="dxa"/>
            <w:shd w:val="clear" w:color="auto" w:fill="F2F2F2" w:themeFill="background1" w:themeFillShade="F2"/>
          </w:tcPr>
          <w:p w14:paraId="3B92F28B" w14:textId="77777777" w:rsidR="002D70E7" w:rsidRPr="002D70E7" w:rsidRDefault="006616FD" w:rsidP="006616FD">
            <w:pPr>
              <w:pStyle w:val="BPIKTeilkompetenzBeschreibung"/>
              <w:numPr>
                <w:ilvl w:val="0"/>
                <w:numId w:val="2"/>
              </w:numPr>
            </w:pPr>
            <w:r w:rsidRPr="002D70E7">
              <w:t xml:space="preserve">Bezüge zu historischen, kunsthistorischen und soziokulturellen Bedingungen erkennen und untersuchen </w:t>
            </w:r>
          </w:p>
        </w:tc>
      </w:tr>
      <w:tr w:rsidR="002D70E7" w14:paraId="228C30E9" w14:textId="77777777" w:rsidTr="00AB439D">
        <w:tc>
          <w:tcPr>
            <w:tcW w:w="15304" w:type="dxa"/>
            <w:shd w:val="clear" w:color="auto" w:fill="F2F2F2" w:themeFill="background1" w:themeFillShade="F2"/>
          </w:tcPr>
          <w:p w14:paraId="4581E071" w14:textId="77777777" w:rsidR="002D70E7" w:rsidRPr="002D70E7" w:rsidRDefault="006616FD" w:rsidP="006616FD">
            <w:pPr>
              <w:pStyle w:val="BPIKTeilkompetenzBeschreibung"/>
              <w:numPr>
                <w:ilvl w:val="0"/>
                <w:numId w:val="2"/>
              </w:numPr>
            </w:pPr>
            <w:r w:rsidRPr="002D70E7">
              <w:t xml:space="preserve">Methoden und Inhalte der Bezugswissenschaft Kunstgeschichte kennenlernen </w:t>
            </w:r>
          </w:p>
        </w:tc>
      </w:tr>
      <w:tr w:rsidR="002D70E7" w14:paraId="7D9B3E30" w14:textId="77777777" w:rsidTr="00AB439D">
        <w:tc>
          <w:tcPr>
            <w:tcW w:w="15304" w:type="dxa"/>
            <w:shd w:val="clear" w:color="auto" w:fill="F2F2F2" w:themeFill="background1" w:themeFillShade="F2"/>
          </w:tcPr>
          <w:p w14:paraId="773D16A9" w14:textId="215D2019" w:rsidR="002D70E7" w:rsidRPr="002D70E7" w:rsidRDefault="006616FD" w:rsidP="00AB439D">
            <w:pPr>
              <w:pStyle w:val="BPIKTeilkompetenzBeschreibung"/>
              <w:numPr>
                <w:ilvl w:val="0"/>
                <w:numId w:val="2"/>
              </w:numPr>
              <w:ind w:left="447" w:hanging="447"/>
            </w:pPr>
            <w:r w:rsidRPr="002D70E7">
              <w:t xml:space="preserve">Erfahrungen mit Bildern und mit eigenen Arbeitsprozessen reflektieren und in geeigneter Form darstellen und präsentieren (mündlich, schriftlich, gestalterisch </w:t>
            </w:r>
            <w:r w:rsidR="00AB439D">
              <w:br/>
            </w:r>
            <w:r w:rsidRPr="002D70E7">
              <w:t>oder performativ)</w:t>
            </w:r>
          </w:p>
        </w:tc>
      </w:tr>
      <w:tr w:rsidR="002D70E7" w14:paraId="6CEF7165" w14:textId="77777777" w:rsidTr="00AB439D">
        <w:tc>
          <w:tcPr>
            <w:tcW w:w="15304" w:type="dxa"/>
            <w:shd w:val="clear" w:color="auto" w:fill="F2F2F2" w:themeFill="background1" w:themeFillShade="F2"/>
          </w:tcPr>
          <w:p w14:paraId="47ADADC0" w14:textId="77777777" w:rsidR="002D70E7" w:rsidRPr="002D70E7" w:rsidRDefault="006616FD" w:rsidP="002D70E7">
            <w:pPr>
              <w:pStyle w:val="BPIKTeilkompetenzBeschreibung"/>
              <w:numPr>
                <w:ilvl w:val="0"/>
                <w:numId w:val="2"/>
              </w:numPr>
            </w:pPr>
            <w:r w:rsidRPr="002D70E7">
              <w:t>Orte und Medien für die Auseinandersetzung mit eigenen und fremden Bildern reflektiert nutzen</w:t>
            </w:r>
          </w:p>
        </w:tc>
      </w:tr>
      <w:tr w:rsidR="002D70E7" w14:paraId="3B230114" w14:textId="77777777" w:rsidTr="00AB439D">
        <w:tc>
          <w:tcPr>
            <w:tcW w:w="15304" w:type="dxa"/>
            <w:shd w:val="clear" w:color="auto" w:fill="F2F2F2" w:themeFill="background1" w:themeFillShade="F2"/>
          </w:tcPr>
          <w:p w14:paraId="38DE16F2" w14:textId="77777777" w:rsidR="002D70E7" w:rsidRPr="002D70E7" w:rsidRDefault="006616FD" w:rsidP="006616FD">
            <w:pPr>
              <w:pStyle w:val="BPIKTeilkompetenzBeschreibung"/>
              <w:numPr>
                <w:ilvl w:val="0"/>
                <w:numId w:val="2"/>
              </w:numPr>
            </w:pPr>
            <w:r w:rsidRPr="002D70E7">
              <w:t xml:space="preserve">auf den Betrachter bezogene Bedingungen und Tendenzen der aktuellen Kunst reflektieren </w:t>
            </w:r>
          </w:p>
        </w:tc>
      </w:tr>
      <w:tr w:rsidR="00B24E21" w:rsidRPr="00B24E21" w14:paraId="627380C6" w14:textId="77777777" w:rsidTr="00AB439D">
        <w:tc>
          <w:tcPr>
            <w:tcW w:w="15304" w:type="dxa"/>
            <w:shd w:val="clear" w:color="auto" w:fill="F2F2F2" w:themeFill="background1" w:themeFillShade="F2"/>
          </w:tcPr>
          <w:p w14:paraId="48ED3AD3" w14:textId="77777777" w:rsidR="002D70E7" w:rsidRPr="00B24E21" w:rsidRDefault="002D70E7" w:rsidP="00FB68B8">
            <w:pPr>
              <w:pStyle w:val="BPVerweisFach"/>
              <w:rPr>
                <w:color w:val="FF0000"/>
              </w:rPr>
            </w:pPr>
            <w:r w:rsidRPr="00B24E21">
              <w:rPr>
                <w:color w:val="FF0000"/>
              </w:rPr>
              <w:t>Deutsch</w:t>
            </w:r>
          </w:p>
          <w:p w14:paraId="4FF69355" w14:textId="77777777" w:rsidR="002D70E7" w:rsidRPr="00B24E21" w:rsidRDefault="002D70E7" w:rsidP="00FB68B8">
            <w:pPr>
              <w:pStyle w:val="BPVerweisLeitprinzip"/>
              <w:rPr>
                <w:color w:val="FF0000"/>
              </w:rPr>
            </w:pPr>
            <w:r w:rsidRPr="00B24E21">
              <w:rPr>
                <w:color w:val="FF0000"/>
              </w:rPr>
              <w:t>BNE</w:t>
            </w:r>
            <w:r w:rsidRPr="00B24E21">
              <w:rPr>
                <w:color w:val="FF0000"/>
              </w:rPr>
              <w:tab/>
              <w:t>Werte und Normen in</w:t>
            </w:r>
            <w:bookmarkStart w:id="0" w:name="_GoBack"/>
            <w:bookmarkEnd w:id="0"/>
            <w:r w:rsidRPr="00B24E21">
              <w:rPr>
                <w:color w:val="FF0000"/>
              </w:rPr>
              <w:t xml:space="preserve"> Entscheidungssituationen</w:t>
            </w:r>
          </w:p>
          <w:p w14:paraId="417F062F" w14:textId="77777777" w:rsidR="002D70E7" w:rsidRPr="00B24E21" w:rsidRDefault="002D70E7" w:rsidP="00FB68B8">
            <w:pPr>
              <w:pStyle w:val="BPVerweisLeitprinzip"/>
              <w:rPr>
                <w:color w:val="FF0000"/>
              </w:rPr>
            </w:pPr>
            <w:r w:rsidRPr="00B24E21">
              <w:rPr>
                <w:color w:val="FF0000"/>
              </w:rPr>
              <w:t>BTV</w:t>
            </w:r>
            <w:r w:rsidRPr="00B24E21">
              <w:rPr>
                <w:color w:val="FF0000"/>
              </w:rPr>
              <w:tab/>
              <w:t>Selbstfindung und Akzeptanz anderer Lebensformen</w:t>
            </w:r>
          </w:p>
          <w:p w14:paraId="411D1EE7" w14:textId="77777777" w:rsidR="002D70E7" w:rsidRPr="00B24E21" w:rsidRDefault="002D70E7" w:rsidP="00FB68B8">
            <w:pPr>
              <w:pStyle w:val="BPVerweisLeitprinzip"/>
              <w:rPr>
                <w:color w:val="FF0000"/>
              </w:rPr>
            </w:pPr>
            <w:r w:rsidRPr="00B24E21">
              <w:rPr>
                <w:color w:val="FF0000"/>
              </w:rPr>
              <w:t xml:space="preserve">MB </w:t>
            </w:r>
            <w:r w:rsidRPr="00B24E21">
              <w:rPr>
                <w:color w:val="FF0000"/>
              </w:rPr>
              <w:tab/>
              <w:t>Medienanalyse</w:t>
            </w:r>
          </w:p>
          <w:p w14:paraId="153757FE" w14:textId="77777777" w:rsidR="002D70E7" w:rsidRPr="00B24E21" w:rsidRDefault="002D70E7" w:rsidP="00FB68B8">
            <w:pPr>
              <w:pStyle w:val="BPVerweisLeitprinzip"/>
              <w:rPr>
                <w:color w:val="FF0000"/>
              </w:rPr>
            </w:pPr>
            <w:r w:rsidRPr="00B24E21">
              <w:rPr>
                <w:color w:val="FF0000"/>
              </w:rPr>
              <w:t xml:space="preserve">VB </w:t>
            </w:r>
            <w:r w:rsidRPr="00B24E21">
              <w:rPr>
                <w:color w:val="FF0000"/>
              </w:rPr>
              <w:tab/>
              <w:t>Bedürfnisse und Wünsche</w:t>
            </w:r>
          </w:p>
          <w:p w14:paraId="0737571C" w14:textId="77777777" w:rsidR="002D70E7" w:rsidRPr="00B24E21" w:rsidRDefault="002D70E7" w:rsidP="00FB68B8">
            <w:pPr>
              <w:pStyle w:val="BPVerweisLeitprinzip"/>
              <w:rPr>
                <w:color w:val="FF0000"/>
              </w:rPr>
            </w:pPr>
            <w:r w:rsidRPr="00B24E21">
              <w:rPr>
                <w:color w:val="FF0000"/>
              </w:rPr>
              <w:t xml:space="preserve">BO </w:t>
            </w:r>
            <w:r w:rsidRPr="00B24E21">
              <w:rPr>
                <w:color w:val="FF0000"/>
              </w:rPr>
              <w:tab/>
              <w:t>Fachspezifische und handlungsorientierte Zugänge zur Arbeits- und Berufswelt</w:t>
            </w:r>
          </w:p>
          <w:p w14:paraId="71158A9C" w14:textId="77777777" w:rsidR="002D70E7" w:rsidRPr="00B24E21" w:rsidRDefault="002D70E7" w:rsidP="00FB68B8">
            <w:pPr>
              <w:pStyle w:val="BPVerweisFach"/>
              <w:numPr>
                <w:ilvl w:val="0"/>
                <w:numId w:val="0"/>
              </w:numPr>
              <w:ind w:left="851"/>
              <w:rPr>
                <w:color w:val="FF0000"/>
              </w:rPr>
            </w:pPr>
          </w:p>
        </w:tc>
      </w:tr>
    </w:tbl>
    <w:p w14:paraId="042020BF" w14:textId="77777777" w:rsidR="00B66F7F" w:rsidRDefault="00B66F7F"/>
    <w:sectPr w:rsidR="00B66F7F" w:rsidSect="00B24E21">
      <w:pgSz w:w="16820" w:h="11900" w:orient="landscape"/>
      <w:pgMar w:top="567" w:right="51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0pt;height:60pt" o:bullet="t">
        <v:imagedata r:id="rId1" o:title="F-web"/>
      </v:shape>
    </w:pict>
  </w:numPicBullet>
  <w:numPicBullet w:numPicBulletId="1">
    <w:pict>
      <v:shape id="_x0000_i1041" type="#_x0000_t75" style="width:60pt;height:60pt" o:bullet="t">
        <v:imagedata r:id="rId2" o:title="L-web"/>
      </v:shape>
    </w:pict>
  </w:numPicBullet>
  <w:abstractNum w:abstractNumId="0" w15:restartNumberingAfterBreak="0">
    <w:nsid w:val="00667CBD"/>
    <w:multiLevelType w:val="hybridMultilevel"/>
    <w:tmpl w:val="72128D1E"/>
    <w:lvl w:ilvl="0" w:tplc="C54692E0">
      <w:start w:val="1"/>
      <w:numFmt w:val="decimal"/>
      <w:lvlText w:val="(%1)"/>
      <w:lvlJc w:val="left"/>
      <w:pPr>
        <w:tabs>
          <w:tab w:val="num" w:pos="0"/>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A77391"/>
    <w:multiLevelType w:val="hybridMultilevel"/>
    <w:tmpl w:val="76448B7E"/>
    <w:lvl w:ilvl="0" w:tplc="C3925200">
      <w:start w:val="1"/>
      <w:numFmt w:val="bullet"/>
      <w:pStyle w:val="BPVerweisFach"/>
      <w:lvlText w:val=""/>
      <w:lvlPicBulletId w:val="0"/>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3E7832EE"/>
    <w:multiLevelType w:val="hybridMultilevel"/>
    <w:tmpl w:val="7AA0D382"/>
    <w:lvl w:ilvl="0" w:tplc="C5B2F220">
      <w:start w:val="1"/>
      <w:numFmt w:val="bullet"/>
      <w:pStyle w:val="BPVerweisLeitprinzip"/>
      <w:lvlText w:val=""/>
      <w:lvlPicBulletId w:val="1"/>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48798F"/>
    <w:multiLevelType w:val="hybridMultilevel"/>
    <w:tmpl w:val="0B60B372"/>
    <w:lvl w:ilvl="0" w:tplc="93F8FA46">
      <w:start w:val="1"/>
      <w:numFmt w:val="decimal"/>
      <w:pStyle w:val="BPIKTeilkompetenzBeschreibung"/>
      <w:lvlText w:val="(%1)"/>
      <w:lvlJc w:val="left"/>
      <w:pPr>
        <w:ind w:left="0" w:firstLine="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3"/>
  </w:num>
  <w:num w:numId="2">
    <w:abstractNumId w:val="3"/>
    <w:lvlOverride w:ilvl="0">
      <w:startOverride w:val="1"/>
    </w:lvlOverride>
  </w:num>
  <w:num w:numId="3">
    <w:abstractNumId w:val="1"/>
  </w:num>
  <w:num w:numId="4">
    <w:abstractNumId w:val="2"/>
  </w:num>
  <w:num w:numId="5">
    <w:abstractNumId w:val="0"/>
    <w:lvlOverride w:ilvl="0">
      <w:startOverride w:val="1"/>
    </w:lvlOverride>
  </w:num>
  <w:num w:numId="6">
    <w:abstractNumId w:val="2"/>
  </w:num>
  <w:num w:numId="7">
    <w:abstractNumId w:val="2"/>
  </w:num>
  <w:num w:numId="8">
    <w:abstractNumId w:val="2"/>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14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E3"/>
    <w:rsid w:val="000120E3"/>
    <w:rsid w:val="000A79D7"/>
    <w:rsid w:val="002B3AC3"/>
    <w:rsid w:val="002D70E7"/>
    <w:rsid w:val="003466EC"/>
    <w:rsid w:val="004A7CE3"/>
    <w:rsid w:val="005640C6"/>
    <w:rsid w:val="00566F24"/>
    <w:rsid w:val="00645FE0"/>
    <w:rsid w:val="006616FD"/>
    <w:rsid w:val="00702F94"/>
    <w:rsid w:val="00763440"/>
    <w:rsid w:val="00932A0D"/>
    <w:rsid w:val="00A8051F"/>
    <w:rsid w:val="00AB439D"/>
    <w:rsid w:val="00B24E21"/>
    <w:rsid w:val="00B66F7F"/>
    <w:rsid w:val="00BE0ABB"/>
    <w:rsid w:val="00C72695"/>
    <w:rsid w:val="00CF25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B6E30"/>
  <w14:defaultImageDpi w14:val="300"/>
  <w15:docId w15:val="{85813046-DB6F-46A9-B3EF-5AF6AE8D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KompetenzBeschreibung">
    <w:name w:val="BP_IK_Kompetenz_Beschreibung"/>
    <w:basedOn w:val="Standard"/>
    <w:uiPriority w:val="1"/>
    <w:qFormat/>
    <w:rsid w:val="004A7CE3"/>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4A7CE3"/>
    <w:pPr>
      <w:numPr>
        <w:numId w:val="1"/>
      </w:numPr>
      <w:tabs>
        <w:tab w:val="left" w:pos="408"/>
      </w:tabs>
      <w:spacing w:line="276" w:lineRule="auto"/>
      <w:jc w:val="both"/>
    </w:pPr>
    <w:rPr>
      <w:rFonts w:eastAsia="Times New Roman" w:cs="Times New Roman"/>
      <w:sz w:val="20"/>
      <w:szCs w:val="20"/>
    </w:rPr>
  </w:style>
  <w:style w:type="paragraph" w:styleId="Fuzeile">
    <w:name w:val="footer"/>
    <w:basedOn w:val="Standard"/>
    <w:link w:val="FuzeileZchn"/>
    <w:uiPriority w:val="99"/>
    <w:semiHidden/>
    <w:rsid w:val="004A7CE3"/>
    <w:pPr>
      <w:tabs>
        <w:tab w:val="center" w:pos="4536"/>
        <w:tab w:val="right" w:pos="9072"/>
      </w:tabs>
      <w:spacing w:before="60" w:after="60"/>
      <w:jc w:val="both"/>
    </w:pPr>
    <w:rPr>
      <w:rFonts w:eastAsia="Times New Roman" w:cs="Times New Roman"/>
      <w:sz w:val="20"/>
      <w:szCs w:val="20"/>
    </w:rPr>
  </w:style>
  <w:style w:type="character" w:customStyle="1" w:styleId="FuzeileZchn">
    <w:name w:val="Fußzeile Zchn"/>
    <w:basedOn w:val="Absatz-Standardschriftart"/>
    <w:link w:val="Fuzeile"/>
    <w:uiPriority w:val="99"/>
    <w:semiHidden/>
    <w:rsid w:val="004A7CE3"/>
    <w:rPr>
      <w:rFonts w:eastAsia="Times New Roman" w:cs="Times New Roman"/>
      <w:sz w:val="20"/>
      <w:szCs w:val="20"/>
    </w:rPr>
  </w:style>
  <w:style w:type="paragraph" w:customStyle="1" w:styleId="BPVerweisFach">
    <w:name w:val="BP_Verweis_Fach"/>
    <w:basedOn w:val="Standard"/>
    <w:uiPriority w:val="99"/>
    <w:qFormat/>
    <w:rsid w:val="004A7CE3"/>
    <w:pPr>
      <w:numPr>
        <w:numId w:val="3"/>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4A7CE3"/>
    <w:pPr>
      <w:numPr>
        <w:numId w:val="4"/>
      </w:numPr>
      <w:tabs>
        <w:tab w:val="left" w:pos="227"/>
        <w:tab w:val="left" w:pos="851"/>
      </w:tabs>
      <w:spacing w:line="276" w:lineRule="auto"/>
    </w:pPr>
    <w:rPr>
      <w:rFonts w:eastAsia="Calibri" w:cs="Arial"/>
      <w:sz w:val="16"/>
      <w:szCs w:val="20"/>
    </w:rPr>
  </w:style>
  <w:style w:type="paragraph" w:customStyle="1" w:styleId="BPHinweise">
    <w:name w:val="BP_Hinweise"/>
    <w:basedOn w:val="Standard"/>
    <w:uiPriority w:val="1"/>
    <w:qFormat/>
    <w:rsid w:val="002B3AC3"/>
    <w:pPr>
      <w:spacing w:before="60" w:after="60" w:line="360" w:lineRule="auto"/>
      <w:jc w:val="both"/>
    </w:pPr>
    <w:rPr>
      <w:rFonts w:eastAsia="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66DC-C6D6-4A7D-899C-3F4C242B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6133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TB_web</cp:lastModifiedBy>
  <cp:revision>4</cp:revision>
  <dcterms:created xsi:type="dcterms:W3CDTF">2019-09-03T10:25:00Z</dcterms:created>
  <dcterms:modified xsi:type="dcterms:W3CDTF">2019-09-03T10:35:00Z</dcterms:modified>
</cp:coreProperties>
</file>