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F04" w:rsidRPr="00D84FD5" w:rsidRDefault="004C2F04" w:rsidP="004C2F0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00" w:beforeAutospacing="1" w:after="100" w:afterAutospacing="1" w:line="240" w:lineRule="auto"/>
        <w:outlineLvl w:val="2"/>
        <w:rPr>
          <w:rFonts w:ascii="Arial" w:eastAsia="Times New Roman" w:hAnsi="Arial" w:cs="Arial"/>
          <w:b/>
          <w:bCs/>
          <w:sz w:val="27"/>
          <w:szCs w:val="27"/>
          <w:lang w:eastAsia="de-DE"/>
        </w:rPr>
      </w:pPr>
      <w:r>
        <w:tab/>
      </w:r>
      <w:r w:rsidRPr="00D84FD5">
        <w:rPr>
          <w:rFonts w:ascii="Arial" w:eastAsia="Times New Roman" w:hAnsi="Arial" w:cs="Arial"/>
          <w:b/>
          <w:bCs/>
          <w:sz w:val="27"/>
          <w:szCs w:val="27"/>
          <w:lang w:eastAsia="de-DE"/>
        </w:rPr>
        <w:t xml:space="preserve">Einführung </w:t>
      </w:r>
    </w:p>
    <w:p w:rsidR="004C2F04" w:rsidRPr="00D84FD5" w:rsidRDefault="004C2F04" w:rsidP="004C2F04">
      <w:pPr>
        <w:spacing w:before="100" w:beforeAutospacing="1" w:after="100" w:afterAutospacing="1" w:line="240" w:lineRule="auto"/>
        <w:jc w:val="both"/>
        <w:rPr>
          <w:rFonts w:ascii="Arial" w:eastAsia="Times New Roman" w:hAnsi="Arial" w:cs="Arial"/>
          <w:sz w:val="24"/>
          <w:szCs w:val="24"/>
          <w:lang w:eastAsia="de-DE"/>
        </w:rPr>
      </w:pPr>
      <w:r w:rsidRPr="00D84FD5">
        <w:rPr>
          <w:rFonts w:ascii="Arial" w:eastAsia="Times New Roman" w:hAnsi="Arial" w:cs="Arial"/>
          <w:sz w:val="24"/>
          <w:szCs w:val="24"/>
          <w:lang w:eastAsia="de-DE"/>
        </w:rPr>
        <w:t xml:space="preserve">Grundintentionen der Bildungsplanreform 2016 sind die Vorbereitung der Schülerinnen und Schüler auf die Herausforderungen der modernen Welt, der Abbau von   Bildungshürden, die bessere Unterstützung der individuellen Entwicklung und die Konkretisierung der Anforderungen. Der Bildungsplan 2016 stellt eine Weiterentwicklung des Bildungsplanes von 2004 dar. </w:t>
      </w:r>
    </w:p>
    <w:p w:rsidR="004C2F04" w:rsidRPr="00D84FD5" w:rsidRDefault="004C2F04" w:rsidP="004C2F04">
      <w:pPr>
        <w:shd w:val="clear" w:color="auto" w:fill="FFFFFF" w:themeFill="background1"/>
        <w:spacing w:after="0" w:line="240" w:lineRule="auto"/>
        <w:jc w:val="both"/>
        <w:rPr>
          <w:rFonts w:ascii="Arial" w:eastAsia="Times New Roman" w:hAnsi="Arial" w:cs="Arial"/>
          <w:sz w:val="24"/>
          <w:szCs w:val="24"/>
          <w:lang w:eastAsia="de-DE"/>
        </w:rPr>
      </w:pPr>
      <w:r w:rsidRPr="00D84FD5">
        <w:rPr>
          <w:rFonts w:ascii="Arial" w:eastAsia="Calibri" w:hAnsi="Arial" w:cs="Arial"/>
          <w:sz w:val="24"/>
          <w:szCs w:val="24"/>
          <w:lang w:eastAsia="de-DE"/>
        </w:rPr>
        <w:t xml:space="preserve">Im Mittelpunkt aller didaktischen Überlegungen steht das </w:t>
      </w:r>
      <w:r w:rsidRPr="00D84FD5">
        <w:rPr>
          <w:rFonts w:ascii="Arial" w:eastAsia="Calibri" w:hAnsi="Arial" w:cs="Arial"/>
          <w:b/>
          <w:bCs/>
          <w:sz w:val="24"/>
          <w:szCs w:val="24"/>
        </w:rPr>
        <w:t>Kind mit seinen individuellen Voraussetzungen</w:t>
      </w:r>
      <w:r w:rsidRPr="00D84FD5">
        <w:rPr>
          <w:rFonts w:ascii="Arial" w:eastAsia="Calibri" w:hAnsi="Arial" w:cs="Arial"/>
          <w:sz w:val="24"/>
          <w:szCs w:val="24"/>
          <w:lang w:eastAsia="de-DE"/>
        </w:rPr>
        <w:t xml:space="preserve">. Deshalb ist das musikalische Handeln von Kindern Ausgangspunkt für alle musikalischen Lernprozesse. </w:t>
      </w:r>
      <w:r w:rsidRPr="00D84FD5">
        <w:rPr>
          <w:rFonts w:ascii="Arial" w:hAnsi="Arial" w:cs="Arial"/>
          <w:sz w:val="24"/>
        </w:rPr>
        <w:t xml:space="preserve">Die Konzeption des Bildungsplans weist </w:t>
      </w:r>
      <w:r w:rsidRPr="00D84FD5">
        <w:rPr>
          <w:rFonts w:ascii="Arial" w:hAnsi="Arial" w:cs="Arial"/>
          <w:b/>
          <w:sz w:val="24"/>
        </w:rPr>
        <w:t>prozessbezogene Kompetenzen</w:t>
      </w:r>
      <w:r w:rsidRPr="00D84FD5">
        <w:rPr>
          <w:rFonts w:ascii="Arial" w:hAnsi="Arial" w:cs="Arial"/>
          <w:sz w:val="24"/>
        </w:rPr>
        <w:t xml:space="preserve"> und </w:t>
      </w:r>
      <w:r w:rsidRPr="00D84FD5">
        <w:rPr>
          <w:rFonts w:ascii="Arial" w:hAnsi="Arial" w:cs="Arial"/>
          <w:b/>
          <w:sz w:val="24"/>
        </w:rPr>
        <w:t>Standards für inhaltsbezogene Kompetenzen</w:t>
      </w:r>
      <w:r w:rsidRPr="00D84FD5">
        <w:rPr>
          <w:rFonts w:ascii="Arial" w:hAnsi="Arial" w:cs="Arial"/>
          <w:sz w:val="24"/>
        </w:rPr>
        <w:t xml:space="preserve"> aus, die in vielfältiger Weise aufeinander bezogen sind. Sie sind stets gemeinsam zu denken. In ihrer Zusammenführung werden sie zu einem tragfähigen Gewebe, das - bezogen auf die Situation vor Ort und auf die Bedürfnisse der Kinder - individuell verfeinert und weiter gewoben wird.</w:t>
      </w:r>
      <w:r w:rsidRPr="00D84FD5">
        <w:rPr>
          <w:rFonts w:ascii="Arial" w:eastAsia="Times New Roman" w:hAnsi="Arial" w:cs="Arial"/>
          <w:sz w:val="24"/>
          <w:szCs w:val="24"/>
          <w:lang w:eastAsia="de-DE"/>
        </w:rPr>
        <w:t xml:space="preserve"> Die prozessbezogenen Kompetenzen werden über die gesamte Grundschulzeit entwickelt. Beim Planen von Unterricht nimmt die Lehrkraft neben den prozess- und inhaltsbezogenen Kompetenzen auch die Leitperspektiven sowie die musikpädagogischen Leitgedanken in den Blick.</w:t>
      </w:r>
    </w:p>
    <w:p w:rsidR="004C2F04" w:rsidRPr="00D84FD5" w:rsidRDefault="004C2F04" w:rsidP="004C2F0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00" w:beforeAutospacing="1" w:after="100" w:afterAutospacing="1" w:line="240" w:lineRule="auto"/>
        <w:outlineLvl w:val="2"/>
        <w:rPr>
          <w:rFonts w:ascii="Arial" w:eastAsia="Times New Roman" w:hAnsi="Arial" w:cs="Arial"/>
          <w:b/>
          <w:bCs/>
          <w:sz w:val="27"/>
          <w:szCs w:val="27"/>
          <w:lang w:eastAsia="de-DE"/>
        </w:rPr>
      </w:pPr>
      <w:r w:rsidRPr="00D84FD5">
        <w:rPr>
          <w:rFonts w:ascii="Arial" w:eastAsia="Times New Roman" w:hAnsi="Arial" w:cs="Arial"/>
          <w:b/>
          <w:bCs/>
          <w:sz w:val="27"/>
          <w:szCs w:val="27"/>
          <w:lang w:eastAsia="de-DE"/>
        </w:rPr>
        <w:t>Übersicht</w:t>
      </w:r>
    </w:p>
    <w:p w:rsidR="004C2F04" w:rsidRDefault="004C2F04" w:rsidP="004C2F04">
      <w:pPr>
        <w:spacing w:before="100" w:beforeAutospacing="1" w:after="100" w:afterAutospacing="1" w:line="240" w:lineRule="auto"/>
        <w:jc w:val="both"/>
        <w:rPr>
          <w:rFonts w:ascii="Arial" w:eastAsia="Times New Roman" w:hAnsi="Arial" w:cs="Arial"/>
          <w:sz w:val="24"/>
          <w:szCs w:val="24"/>
          <w:lang w:eastAsia="de-DE"/>
        </w:rPr>
      </w:pPr>
      <w:r w:rsidRPr="00D84FD5">
        <w:rPr>
          <w:rFonts w:ascii="Arial" w:eastAsia="Times New Roman" w:hAnsi="Arial" w:cs="Arial"/>
          <w:sz w:val="24"/>
          <w:szCs w:val="24"/>
          <w:lang w:eastAsia="de-DE"/>
        </w:rPr>
        <w:t xml:space="preserve">In diesem Schaubild werden </w:t>
      </w:r>
      <w:r>
        <w:rPr>
          <w:rFonts w:ascii="Arial" w:eastAsia="Times New Roman" w:hAnsi="Arial" w:cs="Arial"/>
          <w:sz w:val="24"/>
          <w:szCs w:val="24"/>
          <w:lang w:eastAsia="de-DE"/>
        </w:rPr>
        <w:t xml:space="preserve">die Leitgedanken des Faches Musik vom Kind aus in ihrer Vernetzung mit </w:t>
      </w:r>
      <w:r w:rsidRPr="00D84FD5">
        <w:rPr>
          <w:rFonts w:ascii="Arial" w:eastAsia="Times New Roman" w:hAnsi="Arial" w:cs="Arial"/>
          <w:sz w:val="24"/>
          <w:szCs w:val="24"/>
          <w:lang w:eastAsia="de-DE"/>
        </w:rPr>
        <w:t>fachspezifische</w:t>
      </w:r>
      <w:r>
        <w:rPr>
          <w:rFonts w:ascii="Arial" w:eastAsia="Times New Roman" w:hAnsi="Arial" w:cs="Arial"/>
          <w:sz w:val="24"/>
          <w:szCs w:val="24"/>
          <w:lang w:eastAsia="de-DE"/>
        </w:rPr>
        <w:t>n</w:t>
      </w:r>
      <w:r w:rsidRPr="00D84FD5">
        <w:rPr>
          <w:rFonts w:ascii="Arial" w:eastAsia="Times New Roman" w:hAnsi="Arial" w:cs="Arial"/>
          <w:sz w:val="24"/>
          <w:szCs w:val="24"/>
          <w:lang w:eastAsia="de-DE"/>
        </w:rPr>
        <w:t xml:space="preserve"> und überfachliche</w:t>
      </w:r>
      <w:r>
        <w:rPr>
          <w:rFonts w:ascii="Arial" w:eastAsia="Times New Roman" w:hAnsi="Arial" w:cs="Arial"/>
          <w:sz w:val="24"/>
          <w:szCs w:val="24"/>
          <w:lang w:eastAsia="de-DE"/>
        </w:rPr>
        <w:t>n</w:t>
      </w:r>
      <w:r w:rsidRPr="00D84FD5">
        <w:rPr>
          <w:rFonts w:ascii="Arial" w:eastAsia="Times New Roman" w:hAnsi="Arial" w:cs="Arial"/>
          <w:sz w:val="24"/>
          <w:szCs w:val="24"/>
          <w:lang w:eastAsia="de-DE"/>
        </w:rPr>
        <w:t xml:space="preserve"> Aspekte</w:t>
      </w:r>
      <w:r>
        <w:rPr>
          <w:rFonts w:ascii="Arial" w:eastAsia="Times New Roman" w:hAnsi="Arial" w:cs="Arial"/>
          <w:sz w:val="24"/>
          <w:szCs w:val="24"/>
          <w:lang w:eastAsia="de-DE"/>
        </w:rPr>
        <w:t>n</w:t>
      </w:r>
      <w:r w:rsidRPr="00D84FD5">
        <w:rPr>
          <w:rFonts w:ascii="Arial" w:eastAsia="Times New Roman" w:hAnsi="Arial" w:cs="Arial"/>
          <w:sz w:val="24"/>
          <w:szCs w:val="24"/>
          <w:lang w:eastAsia="de-DE"/>
        </w:rPr>
        <w:t xml:space="preserve"> der Unterrichtsplanung</w:t>
      </w:r>
      <w:r>
        <w:rPr>
          <w:rFonts w:ascii="Arial" w:eastAsia="Times New Roman" w:hAnsi="Arial" w:cs="Arial"/>
          <w:sz w:val="24"/>
          <w:szCs w:val="24"/>
          <w:lang w:eastAsia="de-DE"/>
        </w:rPr>
        <w:t xml:space="preserve"> </w:t>
      </w:r>
      <w:r w:rsidRPr="00D84FD5">
        <w:rPr>
          <w:rFonts w:ascii="Arial" w:eastAsia="Times New Roman" w:hAnsi="Arial" w:cs="Arial"/>
          <w:sz w:val="24"/>
          <w:szCs w:val="24"/>
          <w:lang w:eastAsia="de-DE"/>
        </w:rPr>
        <w:t xml:space="preserve">dargestellt.  </w:t>
      </w:r>
    </w:p>
    <w:p w:rsidR="004C2F04" w:rsidRPr="00D84FD5" w:rsidRDefault="004C2F04" w:rsidP="004C2F04">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noProof/>
          <w:sz w:val="24"/>
          <w:szCs w:val="24"/>
          <w:lang w:eastAsia="de-DE"/>
        </w:rPr>
        <w:lastRenderedPageBreak/>
        <w:drawing>
          <wp:inline distT="0" distB="0" distL="0" distR="0" wp14:anchorId="6741D384" wp14:editId="635C52FB">
            <wp:extent cx="5759450" cy="4319588"/>
            <wp:effectExtent l="0" t="0" r="0" b="5080"/>
            <wp:docPr id="1" name="Grafik 1" descr="C:\Users\Klaus\AppData\Local\Microsoft\Windows\Temporary Internet Files\Content.Outlook\G679IFCX\Schaubild Strukturübers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aus\AppData\Local\Microsoft\Windows\Temporary Internet Files\Content.Outlook\G679IFCX\Schaubild Strukturübersich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4319588"/>
                    </a:xfrm>
                    <a:prstGeom prst="rect">
                      <a:avLst/>
                    </a:prstGeom>
                    <a:noFill/>
                    <a:ln>
                      <a:noFill/>
                    </a:ln>
                  </pic:spPr>
                </pic:pic>
              </a:graphicData>
            </a:graphic>
          </wp:inline>
        </w:drawing>
      </w:r>
    </w:p>
    <w:p w:rsidR="004C2F04" w:rsidRDefault="004C2F04" w:rsidP="004C2F04">
      <w:pPr>
        <w:spacing w:before="100" w:beforeAutospacing="1" w:after="100" w:afterAutospacing="1" w:line="240" w:lineRule="auto"/>
        <w:jc w:val="both"/>
        <w:rPr>
          <w:rFonts w:ascii="Arial" w:eastAsia="Times New Roman" w:hAnsi="Arial" w:cs="Arial"/>
          <w:sz w:val="16"/>
          <w:szCs w:val="16"/>
          <w:lang w:eastAsia="de-DE"/>
        </w:rPr>
      </w:pPr>
    </w:p>
    <w:p w:rsidR="004C2F04" w:rsidRPr="00D84FD5" w:rsidRDefault="004C2F04" w:rsidP="004C2F04">
      <w:pPr>
        <w:spacing w:before="100" w:beforeAutospacing="1" w:after="100" w:afterAutospacing="1" w:line="240" w:lineRule="auto"/>
        <w:jc w:val="both"/>
        <w:rPr>
          <w:rFonts w:ascii="Arial" w:eastAsia="Times New Roman" w:hAnsi="Arial" w:cs="Arial"/>
          <w:sz w:val="16"/>
          <w:szCs w:val="16"/>
          <w:lang w:eastAsia="de-DE"/>
        </w:rPr>
      </w:pPr>
    </w:p>
    <w:p w:rsidR="004C2F04" w:rsidRPr="00D84FD5" w:rsidRDefault="004C2F04" w:rsidP="004C2F04">
      <w:pPr>
        <w:shd w:val="clear" w:color="auto" w:fill="FFFFFF" w:themeFill="background1"/>
        <w:spacing w:after="0" w:line="240" w:lineRule="auto"/>
        <w:jc w:val="center"/>
        <w:rPr>
          <w:rFonts w:ascii="Arial" w:eastAsia="Times New Roman" w:hAnsi="Arial" w:cs="Arial"/>
          <w:b/>
          <w:noProof/>
          <w:sz w:val="27"/>
          <w:szCs w:val="27"/>
          <w:lang w:eastAsia="de-DE"/>
        </w:rPr>
      </w:pPr>
    </w:p>
    <w:tbl>
      <w:tblPr>
        <w:tblStyle w:val="Tabellenraster"/>
        <w:tblW w:w="9214" w:type="dxa"/>
        <w:tblInd w:w="108" w:type="dxa"/>
        <w:tblLook w:val="04A0" w:firstRow="1" w:lastRow="0" w:firstColumn="1" w:lastColumn="0" w:noHBand="0" w:noVBand="1"/>
      </w:tblPr>
      <w:tblGrid>
        <w:gridCol w:w="9214"/>
      </w:tblGrid>
      <w:tr w:rsidR="004C2F04" w:rsidRPr="00D84FD5" w:rsidTr="00E545C8">
        <w:tc>
          <w:tcPr>
            <w:tcW w:w="9214" w:type="dxa"/>
            <w:shd w:val="clear" w:color="auto" w:fill="C6D9F1" w:themeFill="text2" w:themeFillTint="33"/>
          </w:tcPr>
          <w:p w:rsidR="004C2F04" w:rsidRPr="00D84FD5" w:rsidRDefault="004C2F04" w:rsidP="00E545C8">
            <w:pPr>
              <w:spacing w:before="120" w:after="120"/>
              <w:jc w:val="center"/>
              <w:rPr>
                <w:b/>
                <w:sz w:val="27"/>
                <w:szCs w:val="27"/>
              </w:rPr>
            </w:pPr>
            <w:r w:rsidRPr="00D84FD5">
              <w:rPr>
                <w:rFonts w:eastAsia="Times New Roman"/>
                <w:szCs w:val="24"/>
                <w:lang w:eastAsia="de-DE"/>
              </w:rPr>
              <w:br w:type="page"/>
            </w:r>
            <w:r w:rsidRPr="00D84FD5">
              <w:rPr>
                <w:b/>
                <w:sz w:val="27"/>
                <w:szCs w:val="27"/>
              </w:rPr>
              <w:t>Was bleibt?</w:t>
            </w:r>
          </w:p>
        </w:tc>
      </w:tr>
      <w:tr w:rsidR="004C2F04" w:rsidRPr="00D84FD5" w:rsidTr="00E545C8">
        <w:tc>
          <w:tcPr>
            <w:tcW w:w="9214" w:type="dxa"/>
            <w:shd w:val="clear" w:color="auto" w:fill="C6D9F1" w:themeFill="text2" w:themeFillTint="33"/>
          </w:tcPr>
          <w:p w:rsidR="004C2F04" w:rsidRPr="00D84FD5" w:rsidRDefault="004C2F04" w:rsidP="00E545C8">
            <w:pPr>
              <w:spacing w:before="120" w:after="120"/>
              <w:ind w:left="360"/>
              <w:rPr>
                <w:rFonts w:eastAsia="Times New Roman"/>
                <w:szCs w:val="24"/>
                <w:lang w:eastAsia="de-DE"/>
              </w:rPr>
            </w:pPr>
            <w:r w:rsidRPr="00D84FD5">
              <w:rPr>
                <w:rFonts w:eastAsia="Times New Roman"/>
                <w:b/>
                <w:szCs w:val="24"/>
                <w:lang w:eastAsia="de-DE"/>
              </w:rPr>
              <w:t>Kompetenzorientierung:</w:t>
            </w:r>
            <w:r w:rsidRPr="00D84FD5">
              <w:rPr>
                <w:rFonts w:eastAsia="Times New Roman"/>
                <w:szCs w:val="24"/>
                <w:lang w:eastAsia="de-DE"/>
              </w:rPr>
              <w:t xml:space="preserve"> Formulierung von Standards für inhaltsbezogene Kompetenzen in den Klassen</w:t>
            </w:r>
            <w:r w:rsidRPr="00D84FD5">
              <w:rPr>
                <w:szCs w:val="24"/>
              </w:rPr>
              <w:t xml:space="preserve"> 1/2 und 3/4</w:t>
            </w:r>
          </w:p>
        </w:tc>
      </w:tr>
      <w:tr w:rsidR="004C2F04" w:rsidRPr="00D84FD5" w:rsidTr="00E545C8">
        <w:tc>
          <w:tcPr>
            <w:tcW w:w="9214" w:type="dxa"/>
            <w:shd w:val="clear" w:color="auto" w:fill="C6D9F1" w:themeFill="text2" w:themeFillTint="33"/>
          </w:tcPr>
          <w:p w:rsidR="004C2F04" w:rsidRPr="00D84FD5" w:rsidRDefault="004C2F04" w:rsidP="00E545C8">
            <w:pPr>
              <w:spacing w:before="120" w:after="120"/>
              <w:ind w:left="360"/>
              <w:rPr>
                <w:rFonts w:eastAsia="Times New Roman"/>
                <w:szCs w:val="24"/>
                <w:lang w:eastAsia="de-DE"/>
              </w:rPr>
            </w:pPr>
            <w:r w:rsidRPr="00D84FD5">
              <w:rPr>
                <w:rFonts w:eastAsia="Times New Roman"/>
                <w:b/>
                <w:szCs w:val="24"/>
                <w:lang w:eastAsia="de-DE"/>
              </w:rPr>
              <w:t>Leitgedanken zum Kompetenzerwerb</w:t>
            </w:r>
            <w:r w:rsidRPr="00D84FD5">
              <w:rPr>
                <w:rFonts w:eastAsia="Times New Roman"/>
                <w:szCs w:val="24"/>
                <w:lang w:eastAsia="de-DE"/>
              </w:rPr>
              <w:t>: Freude an der Musik, tägliche aktive Musikpflege, Gestaltung des Schullebens, Entwicklung der Persönlichkeit,       fächerverbindendes Lernen, Umgang mit Heterogenität, Vernetzung mit außerschulischen Partnern</w:t>
            </w:r>
          </w:p>
        </w:tc>
      </w:tr>
      <w:tr w:rsidR="004C2F04" w:rsidRPr="00D84FD5" w:rsidTr="00E545C8">
        <w:tc>
          <w:tcPr>
            <w:tcW w:w="9214" w:type="dxa"/>
            <w:shd w:val="clear" w:color="auto" w:fill="C6D9F1" w:themeFill="text2" w:themeFillTint="33"/>
          </w:tcPr>
          <w:p w:rsidR="004C2F04" w:rsidRPr="00D84FD5" w:rsidRDefault="004C2F04" w:rsidP="00E545C8">
            <w:pPr>
              <w:spacing w:before="120" w:after="120"/>
              <w:ind w:left="360"/>
              <w:rPr>
                <w:rFonts w:eastAsia="Times New Roman"/>
                <w:szCs w:val="24"/>
                <w:lang w:eastAsia="de-DE"/>
              </w:rPr>
            </w:pPr>
            <w:r w:rsidRPr="00D84FD5">
              <w:rPr>
                <w:rFonts w:eastAsia="Times New Roman"/>
                <w:szCs w:val="24"/>
                <w:lang w:eastAsia="de-DE"/>
              </w:rPr>
              <w:t xml:space="preserve">Festlegung eines gemeinsamen Liedrepertoires im </w:t>
            </w:r>
            <w:r w:rsidRPr="00D84FD5">
              <w:rPr>
                <w:rFonts w:eastAsia="Times New Roman"/>
                <w:b/>
                <w:szCs w:val="24"/>
                <w:lang w:eastAsia="de-DE"/>
              </w:rPr>
              <w:t>Schulcurriculum</w:t>
            </w:r>
          </w:p>
        </w:tc>
      </w:tr>
      <w:tr w:rsidR="004C2F04" w:rsidRPr="00D84FD5" w:rsidTr="00E545C8">
        <w:tc>
          <w:tcPr>
            <w:tcW w:w="9214" w:type="dxa"/>
            <w:shd w:val="clear" w:color="auto" w:fill="F8F808"/>
          </w:tcPr>
          <w:p w:rsidR="004C2F04" w:rsidRPr="00D84FD5" w:rsidRDefault="004C2F04" w:rsidP="00E545C8">
            <w:pPr>
              <w:spacing w:before="120" w:after="120"/>
              <w:jc w:val="center"/>
              <w:rPr>
                <w:b/>
                <w:sz w:val="27"/>
                <w:szCs w:val="27"/>
              </w:rPr>
            </w:pPr>
            <w:r w:rsidRPr="00D84FD5">
              <w:rPr>
                <w:b/>
                <w:sz w:val="27"/>
                <w:szCs w:val="27"/>
              </w:rPr>
              <w:t>Was ist neu?</w:t>
            </w:r>
          </w:p>
        </w:tc>
      </w:tr>
      <w:tr w:rsidR="004C2F04" w:rsidRPr="00D84FD5" w:rsidTr="00E545C8">
        <w:tc>
          <w:tcPr>
            <w:tcW w:w="9214" w:type="dxa"/>
            <w:shd w:val="clear" w:color="auto" w:fill="F8F808"/>
          </w:tcPr>
          <w:p w:rsidR="004C2F04" w:rsidRPr="00D84FD5" w:rsidRDefault="004C2F04" w:rsidP="00E545C8">
            <w:pPr>
              <w:spacing w:before="120" w:after="120"/>
              <w:ind w:left="360"/>
              <w:rPr>
                <w:b/>
                <w:szCs w:val="24"/>
              </w:rPr>
            </w:pPr>
            <w:r w:rsidRPr="00D84FD5">
              <w:rPr>
                <w:szCs w:val="24"/>
              </w:rPr>
              <w:t xml:space="preserve">Insgesamt </w:t>
            </w:r>
            <w:r w:rsidRPr="00D84FD5">
              <w:rPr>
                <w:b/>
                <w:szCs w:val="24"/>
              </w:rPr>
              <w:t>6 Stunden</w:t>
            </w:r>
            <w:r w:rsidRPr="00D84FD5">
              <w:rPr>
                <w:szCs w:val="24"/>
              </w:rPr>
              <w:t xml:space="preserve"> Musik in 4 Grundschuljahren (Richtwert) als Einzelfach</w:t>
            </w:r>
          </w:p>
        </w:tc>
      </w:tr>
      <w:tr w:rsidR="004C2F04" w:rsidRPr="00D84FD5" w:rsidTr="00E545C8">
        <w:tc>
          <w:tcPr>
            <w:tcW w:w="9214" w:type="dxa"/>
            <w:shd w:val="clear" w:color="auto" w:fill="F8F808"/>
          </w:tcPr>
          <w:p w:rsidR="004C2F04" w:rsidRPr="00D84FD5" w:rsidRDefault="004C2F04" w:rsidP="00E545C8">
            <w:pPr>
              <w:spacing w:before="120" w:after="120"/>
              <w:ind w:left="360"/>
              <w:rPr>
                <w:szCs w:val="24"/>
              </w:rPr>
            </w:pPr>
            <w:r w:rsidRPr="00D84FD5">
              <w:rPr>
                <w:b/>
                <w:szCs w:val="24"/>
              </w:rPr>
              <w:t xml:space="preserve">Leitgedanken </w:t>
            </w:r>
            <w:r w:rsidRPr="00D84FD5">
              <w:rPr>
                <w:szCs w:val="24"/>
              </w:rPr>
              <w:t xml:space="preserve">werden ergänzt durch: kulturelle und interkulturelle Teilhabe,   Förderung des Lernens, Hören, </w:t>
            </w:r>
            <w:proofErr w:type="spellStart"/>
            <w:r w:rsidRPr="00D84FD5">
              <w:rPr>
                <w:szCs w:val="24"/>
              </w:rPr>
              <w:t>Musikalisierung</w:t>
            </w:r>
            <w:proofErr w:type="spellEnd"/>
            <w:r w:rsidRPr="00D84FD5">
              <w:rPr>
                <w:szCs w:val="24"/>
              </w:rPr>
              <w:t xml:space="preserve"> des Schullebens, Wiederholen und Üben, spiralförmiger Aufbau, Rolle der Musiklehrkraft, musikalische Fachsprache</w:t>
            </w:r>
          </w:p>
        </w:tc>
      </w:tr>
      <w:tr w:rsidR="004C2F04" w:rsidRPr="00D84FD5" w:rsidTr="00E545C8">
        <w:tc>
          <w:tcPr>
            <w:tcW w:w="9214" w:type="dxa"/>
            <w:shd w:val="clear" w:color="auto" w:fill="F8F808"/>
          </w:tcPr>
          <w:p w:rsidR="004C2F04" w:rsidRPr="00D84FD5" w:rsidRDefault="004C2F04" w:rsidP="00E545C8">
            <w:pPr>
              <w:spacing w:before="120" w:after="120"/>
              <w:ind w:left="360"/>
              <w:rPr>
                <w:szCs w:val="24"/>
              </w:rPr>
            </w:pPr>
            <w:r w:rsidRPr="00D84FD5">
              <w:rPr>
                <w:b/>
                <w:szCs w:val="24"/>
              </w:rPr>
              <w:lastRenderedPageBreak/>
              <w:t>Prozessbezogene Kompetenzen</w:t>
            </w:r>
            <w:r w:rsidRPr="00D84FD5">
              <w:rPr>
                <w:szCs w:val="24"/>
              </w:rPr>
              <w:t xml:space="preserve"> für die Klassen 1 bis 4 dienen der Welterschließung des Grundschulkindes und entspr</w:t>
            </w:r>
            <w:r>
              <w:rPr>
                <w:szCs w:val="24"/>
              </w:rPr>
              <w:t>echen d</w:t>
            </w:r>
            <w:r w:rsidRPr="00D84FD5">
              <w:rPr>
                <w:szCs w:val="24"/>
              </w:rPr>
              <w:t>en prozessbezogenen Kompetenzen  der Fächer Sachunterricht und Kunst/Werken; in Klammern ist die fachbezogene Konkretion ergänzend aufgeführt.</w:t>
            </w:r>
          </w:p>
        </w:tc>
      </w:tr>
      <w:tr w:rsidR="004C2F04" w:rsidRPr="00D84FD5" w:rsidTr="00E545C8">
        <w:trPr>
          <w:trHeight w:val="841"/>
        </w:trPr>
        <w:tc>
          <w:tcPr>
            <w:tcW w:w="9214" w:type="dxa"/>
            <w:shd w:val="clear" w:color="auto" w:fill="F8F808"/>
          </w:tcPr>
          <w:p w:rsidR="004C2F04" w:rsidRPr="00D84FD5" w:rsidRDefault="004C2F04" w:rsidP="00E545C8">
            <w:pPr>
              <w:spacing w:before="120" w:after="120"/>
              <w:ind w:left="360"/>
              <w:rPr>
                <w:szCs w:val="24"/>
              </w:rPr>
            </w:pPr>
            <w:r w:rsidRPr="00D84FD5">
              <w:rPr>
                <w:b/>
                <w:szCs w:val="24"/>
              </w:rPr>
              <w:t>Inhaltsbezogene Teilkompetenzen</w:t>
            </w:r>
            <w:r w:rsidRPr="00D84FD5">
              <w:rPr>
                <w:szCs w:val="24"/>
              </w:rPr>
              <w:t xml:space="preserve"> für die Klassen 1/2  und 3/4 sind spiralcurricular aufgebaut und dienen zur Erlangung der Bildungsstandards des Faches am Ende des Bildungsabschnittes der Grundschule.</w:t>
            </w:r>
          </w:p>
        </w:tc>
      </w:tr>
      <w:tr w:rsidR="004C2F04" w:rsidRPr="00D84FD5" w:rsidTr="00E545C8">
        <w:tc>
          <w:tcPr>
            <w:tcW w:w="9214" w:type="dxa"/>
            <w:shd w:val="clear" w:color="auto" w:fill="F8F808"/>
          </w:tcPr>
          <w:p w:rsidR="004C2F04" w:rsidRPr="00D84FD5" w:rsidRDefault="004C2F04" w:rsidP="00E545C8">
            <w:pPr>
              <w:spacing w:before="120" w:after="120"/>
              <w:ind w:left="360"/>
              <w:rPr>
                <w:szCs w:val="24"/>
              </w:rPr>
            </w:pPr>
            <w:r w:rsidRPr="00D84FD5">
              <w:rPr>
                <w:b/>
                <w:szCs w:val="24"/>
              </w:rPr>
              <w:t>Leitperspektiven</w:t>
            </w:r>
            <w:r w:rsidRPr="00D84FD5">
              <w:rPr>
                <w:szCs w:val="24"/>
              </w:rPr>
              <w:t>, die nicht nur dem Fach Musik zugeordnet sind, sondern übergreifend in verschiedenen Fächern Berücksichtigung finden.</w:t>
            </w:r>
          </w:p>
        </w:tc>
      </w:tr>
      <w:tr w:rsidR="004C2F04" w:rsidRPr="00D84FD5" w:rsidTr="00E545C8">
        <w:tc>
          <w:tcPr>
            <w:tcW w:w="9214" w:type="dxa"/>
            <w:shd w:val="clear" w:color="auto" w:fill="F8F808"/>
          </w:tcPr>
          <w:p w:rsidR="004C2F04" w:rsidRPr="00D84FD5" w:rsidRDefault="004C2F04" w:rsidP="00E545C8">
            <w:pPr>
              <w:spacing w:before="120" w:after="120"/>
              <w:ind w:left="360"/>
              <w:rPr>
                <w:szCs w:val="24"/>
              </w:rPr>
            </w:pPr>
            <w:r w:rsidRPr="00D84FD5">
              <w:rPr>
                <w:b/>
                <w:szCs w:val="24"/>
              </w:rPr>
              <w:t>Drei Kompetenzbereiche</w:t>
            </w:r>
            <w:r w:rsidRPr="00D84FD5">
              <w:rPr>
                <w:szCs w:val="24"/>
              </w:rPr>
              <w:t>: Musik gestalten, Musik hören und verstehen, Musik umsetzen</w:t>
            </w:r>
          </w:p>
        </w:tc>
      </w:tr>
      <w:tr w:rsidR="004C2F04" w:rsidRPr="00D84FD5" w:rsidTr="00E545C8">
        <w:tc>
          <w:tcPr>
            <w:tcW w:w="9214" w:type="dxa"/>
            <w:shd w:val="clear" w:color="auto" w:fill="F8F808"/>
          </w:tcPr>
          <w:p w:rsidR="004C2F04" w:rsidRPr="00D84FD5" w:rsidRDefault="004C2F04" w:rsidP="00E545C8">
            <w:pPr>
              <w:spacing w:before="120" w:after="120"/>
              <w:ind w:left="360"/>
              <w:rPr>
                <w:rFonts w:eastAsia="Times New Roman"/>
                <w:szCs w:val="24"/>
                <w:lang w:eastAsia="de-DE"/>
              </w:rPr>
            </w:pPr>
            <w:r w:rsidRPr="00D84FD5">
              <w:rPr>
                <w:szCs w:val="24"/>
              </w:rPr>
              <w:t xml:space="preserve">Zweispaltige Struktur mit </w:t>
            </w:r>
            <w:r w:rsidRPr="00D84FD5">
              <w:rPr>
                <w:b/>
                <w:szCs w:val="24"/>
              </w:rPr>
              <w:t>Denkanstößen und Teilkompetenzen</w:t>
            </w:r>
          </w:p>
        </w:tc>
      </w:tr>
      <w:tr w:rsidR="004C2F04" w:rsidRPr="00D84FD5" w:rsidTr="00E545C8">
        <w:tc>
          <w:tcPr>
            <w:tcW w:w="9214" w:type="dxa"/>
            <w:shd w:val="clear" w:color="auto" w:fill="F8F808"/>
          </w:tcPr>
          <w:p w:rsidR="004C2F04" w:rsidRPr="00D84FD5" w:rsidRDefault="004C2F04" w:rsidP="00E545C8">
            <w:pPr>
              <w:spacing w:before="120" w:after="120"/>
              <w:ind w:left="360"/>
              <w:rPr>
                <w:szCs w:val="24"/>
              </w:rPr>
            </w:pPr>
            <w:r w:rsidRPr="00D84FD5">
              <w:rPr>
                <w:b/>
                <w:szCs w:val="24"/>
              </w:rPr>
              <w:t xml:space="preserve">Verweise </w:t>
            </w:r>
            <w:r w:rsidRPr="00D84FD5">
              <w:rPr>
                <w:szCs w:val="24"/>
              </w:rPr>
              <w:t>auf Leitperspektiven, Prozessbezogene Kompetenzen, Inhaltsbezogene Kompetenzen, andere Fächer, Orientierungsplan</w:t>
            </w:r>
          </w:p>
        </w:tc>
      </w:tr>
      <w:tr w:rsidR="004C2F04" w:rsidRPr="00D84FD5" w:rsidTr="00E545C8">
        <w:tc>
          <w:tcPr>
            <w:tcW w:w="9214" w:type="dxa"/>
            <w:shd w:val="clear" w:color="auto" w:fill="F8F808"/>
          </w:tcPr>
          <w:p w:rsidR="004C2F04" w:rsidRPr="00D84FD5" w:rsidRDefault="004C2F04" w:rsidP="00E545C8">
            <w:pPr>
              <w:spacing w:before="120" w:after="120"/>
              <w:ind w:left="360"/>
              <w:rPr>
                <w:b/>
                <w:szCs w:val="24"/>
              </w:rPr>
            </w:pPr>
            <w:r w:rsidRPr="00D84FD5">
              <w:rPr>
                <w:rFonts w:eastAsia="Times New Roman"/>
                <w:szCs w:val="24"/>
                <w:lang w:eastAsia="de-DE"/>
              </w:rPr>
              <w:t xml:space="preserve">Gemeinsames </w:t>
            </w:r>
            <w:r w:rsidRPr="00D84FD5">
              <w:rPr>
                <w:rFonts w:eastAsia="Times New Roman"/>
                <w:b/>
                <w:szCs w:val="24"/>
                <w:lang w:eastAsia="de-DE"/>
              </w:rPr>
              <w:t>Lied- und Hörrepertoire</w:t>
            </w:r>
            <w:r w:rsidRPr="00D84FD5">
              <w:rPr>
                <w:rFonts w:eastAsia="Times New Roman"/>
                <w:szCs w:val="24"/>
                <w:lang w:eastAsia="de-DE"/>
              </w:rPr>
              <w:t xml:space="preserve"> im Schulcurriculum</w:t>
            </w:r>
          </w:p>
        </w:tc>
      </w:tr>
      <w:tr w:rsidR="004C2F04" w:rsidRPr="00D84FD5" w:rsidTr="00E545C8">
        <w:tc>
          <w:tcPr>
            <w:tcW w:w="9214" w:type="dxa"/>
            <w:shd w:val="clear" w:color="auto" w:fill="F8F808"/>
          </w:tcPr>
          <w:p w:rsidR="004C2F04" w:rsidRPr="00D84FD5" w:rsidRDefault="004C2F04" w:rsidP="00E545C8">
            <w:pPr>
              <w:spacing w:before="120" w:after="120"/>
              <w:ind w:left="360"/>
              <w:rPr>
                <w:szCs w:val="24"/>
              </w:rPr>
            </w:pPr>
            <w:r w:rsidRPr="00D84FD5">
              <w:rPr>
                <w:szCs w:val="24"/>
              </w:rPr>
              <w:t xml:space="preserve">Vorschläge zur Umsetzung der Teilkompetenzen auf der </w:t>
            </w:r>
            <w:r w:rsidRPr="00D84FD5">
              <w:rPr>
                <w:b/>
                <w:szCs w:val="24"/>
              </w:rPr>
              <w:t>Materialebene</w:t>
            </w:r>
            <w:r w:rsidRPr="00D84FD5">
              <w:rPr>
                <w:szCs w:val="24"/>
              </w:rPr>
              <w:t xml:space="preserve"> des  Bildungsplanes </w:t>
            </w:r>
          </w:p>
        </w:tc>
      </w:tr>
      <w:tr w:rsidR="004C2F04" w:rsidRPr="00D84FD5" w:rsidTr="00E545C8">
        <w:tc>
          <w:tcPr>
            <w:tcW w:w="9214" w:type="dxa"/>
            <w:shd w:val="clear" w:color="auto" w:fill="F8F808"/>
          </w:tcPr>
          <w:p w:rsidR="004C2F04" w:rsidRPr="00D84FD5" w:rsidRDefault="004C2F04" w:rsidP="00E545C8">
            <w:pPr>
              <w:spacing w:before="120" w:after="120"/>
              <w:ind w:left="360"/>
              <w:rPr>
                <w:szCs w:val="24"/>
              </w:rPr>
            </w:pPr>
            <w:r w:rsidRPr="00D84FD5">
              <w:rPr>
                <w:szCs w:val="24"/>
              </w:rPr>
              <w:t>Liste mit</w:t>
            </w:r>
            <w:r w:rsidRPr="00D84FD5">
              <w:rPr>
                <w:b/>
                <w:szCs w:val="24"/>
              </w:rPr>
              <w:t xml:space="preserve"> Liedvorschlägen </w:t>
            </w:r>
            <w:r w:rsidRPr="00D84FD5">
              <w:rPr>
                <w:szCs w:val="24"/>
              </w:rPr>
              <w:t xml:space="preserve">auf der Materialebene </w:t>
            </w:r>
          </w:p>
        </w:tc>
      </w:tr>
    </w:tbl>
    <w:p w:rsidR="001230FD" w:rsidRPr="004C2F04" w:rsidRDefault="001230FD" w:rsidP="004C2F04">
      <w:pPr>
        <w:spacing w:after="0"/>
      </w:pPr>
      <w:bookmarkStart w:id="0" w:name="_GoBack"/>
      <w:bookmarkEnd w:id="0"/>
    </w:p>
    <w:sectPr w:rsidR="001230FD" w:rsidRPr="004C2F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04"/>
    <w:rsid w:val="001230FD"/>
    <w:rsid w:val="004C2F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2F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C2F04"/>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C2F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F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2F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C2F04"/>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C2F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F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dc:creator>
  <cp:lastModifiedBy>Klaus</cp:lastModifiedBy>
  <cp:revision>1</cp:revision>
  <dcterms:created xsi:type="dcterms:W3CDTF">2016-04-04T00:09:00Z</dcterms:created>
  <dcterms:modified xsi:type="dcterms:W3CDTF">2016-04-04T00:10:00Z</dcterms:modified>
</cp:coreProperties>
</file>