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C4" w:rsidRPr="00D84FD5" w:rsidRDefault="009612C4" w:rsidP="009612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line="240" w:lineRule="auto"/>
        <w:jc w:val="both"/>
        <w:rPr>
          <w:rFonts w:ascii="Arial" w:eastAsia="Times New Roman" w:hAnsi="Arial" w:cs="Arial"/>
          <w:b/>
          <w:color w:val="FF0000"/>
          <w:sz w:val="27"/>
          <w:szCs w:val="27"/>
          <w:lang w:eastAsia="de-DE"/>
        </w:rPr>
      </w:pPr>
      <w:r w:rsidRPr="00D84FD5">
        <w:rPr>
          <w:rFonts w:ascii="Arial" w:eastAsia="Times New Roman" w:hAnsi="Arial" w:cs="Arial"/>
          <w:b/>
          <w:sz w:val="27"/>
          <w:szCs w:val="27"/>
          <w:lang w:eastAsia="de-DE"/>
        </w:rPr>
        <w:t xml:space="preserve">Liste mit Liedvorschlägen </w:t>
      </w:r>
    </w:p>
    <w:p w:rsidR="009612C4" w:rsidRPr="00D84FD5" w:rsidRDefault="009612C4" w:rsidP="009612C4">
      <w:pPr>
        <w:spacing w:before="60" w:after="60" w:line="240" w:lineRule="auto"/>
        <w:jc w:val="both"/>
        <w:rPr>
          <w:rFonts w:ascii="Arial" w:eastAsia="Times New Roman" w:hAnsi="Arial" w:cs="Arial"/>
          <w:sz w:val="20"/>
          <w:lang w:eastAsia="de-DE"/>
        </w:rPr>
      </w:pPr>
      <w:r w:rsidRPr="00D84FD5">
        <w:rPr>
          <w:rFonts w:ascii="Arial" w:eastAsia="Times New Roman" w:hAnsi="Arial" w:cs="Arial"/>
          <w:sz w:val="20"/>
          <w:lang w:eastAsia="de-DE"/>
        </w:rPr>
        <w:t xml:space="preserve">Die hier aufgeführte Sammlung von Liedern bietet eine Auswahl von  bewusst nur </w:t>
      </w:r>
      <w:r w:rsidRPr="00D84FD5">
        <w:rPr>
          <w:rFonts w:ascii="Arial" w:eastAsia="Times New Roman" w:hAnsi="Arial" w:cs="Arial"/>
          <w:b/>
          <w:sz w:val="20"/>
          <w:lang w:eastAsia="de-DE"/>
        </w:rPr>
        <w:t>traditionellen Liedern</w:t>
      </w:r>
      <w:r w:rsidRPr="00D84FD5">
        <w:rPr>
          <w:rFonts w:ascii="Arial" w:eastAsia="Times New Roman" w:hAnsi="Arial" w:cs="Arial"/>
          <w:sz w:val="20"/>
          <w:lang w:eastAsia="de-DE"/>
        </w:rPr>
        <w:t xml:space="preserve"> </w:t>
      </w:r>
      <w:r w:rsidRPr="00D84FD5">
        <w:rPr>
          <w:rFonts w:ascii="Arial" w:eastAsia="Times New Roman" w:hAnsi="Arial" w:cs="Arial"/>
          <w:sz w:val="20"/>
          <w:szCs w:val="20"/>
          <w:lang w:eastAsia="de-DE"/>
        </w:rPr>
        <w:t>–</w:t>
      </w:r>
      <w:r w:rsidRPr="00D84FD5">
        <w:rPr>
          <w:rFonts w:ascii="Arial" w:eastAsia="Times New Roman" w:hAnsi="Arial" w:cs="Arial"/>
          <w:sz w:val="20"/>
          <w:lang w:eastAsia="de-DE"/>
        </w:rPr>
        <w:t xml:space="preserve"> Volkslieder und einzelne Kunstlieder –, die im Sinne der Traditionspflege und im Hinblick auf die </w:t>
      </w:r>
      <w:r w:rsidRPr="00D84FD5">
        <w:rPr>
          <w:rFonts w:ascii="Arial" w:eastAsia="Times New Roman" w:hAnsi="Arial" w:cs="Arial"/>
          <w:b/>
          <w:sz w:val="20"/>
          <w:lang w:eastAsia="de-DE"/>
        </w:rPr>
        <w:t>Entwicklung eines Schulcurriculums</w:t>
      </w:r>
      <w:r w:rsidRPr="00D84FD5">
        <w:rPr>
          <w:rFonts w:ascii="Arial" w:eastAsia="Times New Roman" w:hAnsi="Arial" w:cs="Arial"/>
          <w:sz w:val="20"/>
          <w:lang w:eastAsia="de-DE"/>
        </w:rPr>
        <w:t xml:space="preserve"> Berücksichtigung finden können. Es wird empfohlen, die angegebenen </w:t>
      </w:r>
      <w:r w:rsidRPr="00D84FD5">
        <w:rPr>
          <w:rFonts w:ascii="Arial" w:eastAsia="Times New Roman" w:hAnsi="Arial" w:cs="Arial"/>
          <w:b/>
          <w:sz w:val="20"/>
          <w:lang w:eastAsia="de-DE"/>
        </w:rPr>
        <w:t xml:space="preserve">Tonarten </w:t>
      </w:r>
      <w:r w:rsidRPr="00D84FD5">
        <w:rPr>
          <w:rFonts w:ascii="Arial" w:eastAsia="Times New Roman" w:hAnsi="Arial" w:cs="Arial"/>
          <w:sz w:val="20"/>
          <w:lang w:eastAsia="de-DE"/>
        </w:rPr>
        <w:t xml:space="preserve">zu verwenden, um dem angestrebten Tonumfang der Kinderstimme gerecht zu werden (d‘ bis f‘‘). </w:t>
      </w:r>
    </w:p>
    <w:p w:rsidR="009612C4" w:rsidRPr="00D84FD5" w:rsidRDefault="009612C4" w:rsidP="009612C4">
      <w:pPr>
        <w:spacing w:before="60" w:after="60" w:line="240" w:lineRule="auto"/>
        <w:jc w:val="both"/>
        <w:rPr>
          <w:rFonts w:ascii="Arial" w:eastAsia="Times New Roman" w:hAnsi="Arial" w:cs="Arial"/>
          <w:sz w:val="20"/>
          <w:lang w:eastAsia="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992"/>
        <w:gridCol w:w="386"/>
        <w:gridCol w:w="3300"/>
        <w:gridCol w:w="1134"/>
      </w:tblGrid>
      <w:tr w:rsidR="009612C4" w:rsidRPr="00D84FD5" w:rsidTr="00E545C8">
        <w:tc>
          <w:tcPr>
            <w:tcW w:w="3544" w:type="dxa"/>
            <w:shd w:val="clear" w:color="auto" w:fill="C6D9F1" w:themeFill="text2" w:themeFillTint="33"/>
          </w:tcPr>
          <w:p w:rsidR="009612C4" w:rsidRPr="00D84FD5" w:rsidRDefault="009612C4" w:rsidP="00E545C8">
            <w:pPr>
              <w:spacing w:after="0" w:line="240" w:lineRule="auto"/>
              <w:jc w:val="center"/>
              <w:rPr>
                <w:rFonts w:ascii="Arial" w:hAnsi="Arial" w:cs="Arial"/>
                <w:b/>
                <w:szCs w:val="28"/>
              </w:rPr>
            </w:pPr>
            <w:r w:rsidRPr="00D84FD5">
              <w:rPr>
                <w:rFonts w:ascii="Arial" w:hAnsi="Arial" w:cs="Arial"/>
                <w:b/>
                <w:szCs w:val="28"/>
              </w:rPr>
              <w:t>Klasse 1/2</w:t>
            </w:r>
          </w:p>
        </w:tc>
        <w:tc>
          <w:tcPr>
            <w:tcW w:w="992" w:type="dxa"/>
            <w:shd w:val="clear" w:color="auto" w:fill="C6D9F1" w:themeFill="text2" w:themeFillTint="33"/>
          </w:tcPr>
          <w:p w:rsidR="009612C4" w:rsidRPr="00D84FD5" w:rsidRDefault="009612C4" w:rsidP="00E545C8">
            <w:pPr>
              <w:spacing w:after="0" w:line="240" w:lineRule="auto"/>
              <w:jc w:val="center"/>
              <w:rPr>
                <w:rFonts w:ascii="Arial" w:hAnsi="Arial" w:cs="Arial"/>
                <w:b/>
                <w:bCs/>
                <w:szCs w:val="28"/>
              </w:rPr>
            </w:pPr>
            <w:r w:rsidRPr="00D84FD5">
              <w:rPr>
                <w:rFonts w:ascii="Arial" w:hAnsi="Arial" w:cs="Arial"/>
                <w:b/>
                <w:bCs/>
                <w:szCs w:val="28"/>
              </w:rPr>
              <w:t>Tonart</w:t>
            </w:r>
          </w:p>
        </w:tc>
        <w:tc>
          <w:tcPr>
            <w:tcW w:w="386" w:type="dxa"/>
            <w:tcBorders>
              <w:bottom w:val="single" w:sz="4" w:space="0" w:color="auto"/>
            </w:tcBorders>
            <w:shd w:val="clear" w:color="auto" w:fill="C6D9F1" w:themeFill="text2" w:themeFillTint="33"/>
          </w:tcPr>
          <w:p w:rsidR="009612C4" w:rsidRPr="00D84FD5" w:rsidRDefault="009612C4" w:rsidP="00E545C8">
            <w:pPr>
              <w:spacing w:after="0" w:line="240" w:lineRule="auto"/>
              <w:jc w:val="center"/>
              <w:rPr>
                <w:rFonts w:ascii="Arial" w:hAnsi="Arial" w:cs="Arial"/>
                <w:b/>
                <w:szCs w:val="28"/>
              </w:rPr>
            </w:pPr>
          </w:p>
        </w:tc>
        <w:tc>
          <w:tcPr>
            <w:tcW w:w="3300" w:type="dxa"/>
            <w:shd w:val="clear" w:color="auto" w:fill="C6D9F1" w:themeFill="text2" w:themeFillTint="33"/>
          </w:tcPr>
          <w:p w:rsidR="009612C4" w:rsidRPr="00D84FD5" w:rsidRDefault="009612C4" w:rsidP="00E545C8">
            <w:pPr>
              <w:spacing w:after="0" w:line="240" w:lineRule="auto"/>
              <w:jc w:val="center"/>
              <w:rPr>
                <w:rFonts w:ascii="Arial" w:hAnsi="Arial" w:cs="Arial"/>
                <w:b/>
                <w:szCs w:val="28"/>
              </w:rPr>
            </w:pPr>
            <w:r w:rsidRPr="00D84FD5">
              <w:rPr>
                <w:rFonts w:ascii="Arial" w:hAnsi="Arial" w:cs="Arial"/>
                <w:b/>
                <w:szCs w:val="28"/>
              </w:rPr>
              <w:t>Klasse 3/4</w:t>
            </w:r>
          </w:p>
        </w:tc>
        <w:tc>
          <w:tcPr>
            <w:tcW w:w="1134" w:type="dxa"/>
            <w:shd w:val="clear" w:color="auto" w:fill="C6D9F1" w:themeFill="text2" w:themeFillTint="33"/>
          </w:tcPr>
          <w:p w:rsidR="009612C4" w:rsidRPr="00D84FD5" w:rsidRDefault="009612C4" w:rsidP="00E545C8">
            <w:pPr>
              <w:spacing w:after="0" w:line="240" w:lineRule="auto"/>
              <w:jc w:val="center"/>
              <w:rPr>
                <w:rFonts w:ascii="Arial" w:hAnsi="Arial" w:cs="Arial"/>
                <w:b/>
                <w:bCs/>
                <w:szCs w:val="28"/>
              </w:rPr>
            </w:pPr>
            <w:r w:rsidRPr="00D84FD5">
              <w:rPr>
                <w:rFonts w:ascii="Arial" w:hAnsi="Arial" w:cs="Arial"/>
                <w:b/>
                <w:bCs/>
                <w:szCs w:val="28"/>
              </w:rPr>
              <w:t>Tonart</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Es war eine Mutter, die hatte vier Kinder</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G–Dur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Es tönen die Lieder</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F–Dur</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Singt ein Vogel</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D–Dur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Nun will der Lenz uns grüßen</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G–Dur</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 xml:space="preserve">Kuckuck, Kuckuck, </w:t>
            </w:r>
            <w:proofErr w:type="spellStart"/>
            <w:r w:rsidRPr="00D84FD5">
              <w:rPr>
                <w:rFonts w:ascii="Arial" w:eastAsia="Times New Roman" w:hAnsi="Arial" w:cs="Arial"/>
                <w:sz w:val="18"/>
                <w:szCs w:val="18"/>
                <w:lang w:eastAsia="de-DE"/>
              </w:rPr>
              <w:t>ruft‘s</w:t>
            </w:r>
            <w:proofErr w:type="spellEnd"/>
            <w:r w:rsidRPr="00D84FD5">
              <w:rPr>
                <w:rFonts w:ascii="Arial" w:eastAsia="Times New Roman" w:hAnsi="Arial" w:cs="Arial"/>
                <w:sz w:val="18"/>
                <w:szCs w:val="18"/>
                <w:lang w:eastAsia="de-DE"/>
              </w:rPr>
              <w:t xml:space="preserve"> aus dem Wald</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G–Dur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Komm, lieber Mai, und mache</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D–Dur</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Alle Vögel sind schon da</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D–Dur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 xml:space="preserve">Der Vogelfänger bin ich ja </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G–Dur</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proofErr w:type="spellStart"/>
            <w:r w:rsidRPr="00D84FD5">
              <w:rPr>
                <w:rFonts w:ascii="Arial" w:eastAsia="Times New Roman" w:hAnsi="Arial" w:cs="Arial"/>
                <w:sz w:val="18"/>
                <w:szCs w:val="18"/>
                <w:lang w:eastAsia="de-DE"/>
              </w:rPr>
              <w:t>Tra</w:t>
            </w:r>
            <w:proofErr w:type="spellEnd"/>
            <w:r w:rsidRPr="00D84FD5">
              <w:rPr>
                <w:rFonts w:ascii="Arial" w:eastAsia="Times New Roman" w:hAnsi="Arial" w:cs="Arial"/>
                <w:sz w:val="18"/>
                <w:szCs w:val="18"/>
                <w:lang w:eastAsia="de-DE"/>
              </w:rPr>
              <w:t xml:space="preserve"> </w:t>
            </w:r>
            <w:proofErr w:type="spellStart"/>
            <w:r w:rsidRPr="00D84FD5">
              <w:rPr>
                <w:rFonts w:ascii="Arial" w:eastAsia="Times New Roman" w:hAnsi="Arial" w:cs="Arial"/>
                <w:sz w:val="18"/>
                <w:szCs w:val="18"/>
                <w:lang w:eastAsia="de-DE"/>
              </w:rPr>
              <w:t>ri</w:t>
            </w:r>
            <w:proofErr w:type="spellEnd"/>
            <w:r w:rsidRPr="00D84FD5">
              <w:rPr>
                <w:rFonts w:ascii="Arial" w:eastAsia="Times New Roman" w:hAnsi="Arial" w:cs="Arial"/>
                <w:sz w:val="18"/>
                <w:szCs w:val="18"/>
                <w:lang w:eastAsia="de-DE"/>
              </w:rPr>
              <w:t xml:space="preserve"> </w:t>
            </w:r>
            <w:proofErr w:type="spellStart"/>
            <w:r w:rsidRPr="00D84FD5">
              <w:rPr>
                <w:rFonts w:ascii="Arial" w:eastAsia="Times New Roman" w:hAnsi="Arial" w:cs="Arial"/>
                <w:sz w:val="18"/>
                <w:szCs w:val="18"/>
                <w:lang w:eastAsia="de-DE"/>
              </w:rPr>
              <w:t>ra</w:t>
            </w:r>
            <w:proofErr w:type="spellEnd"/>
            <w:r w:rsidRPr="00D84FD5">
              <w:rPr>
                <w:rFonts w:ascii="Arial" w:eastAsia="Times New Roman" w:hAnsi="Arial" w:cs="Arial"/>
                <w:sz w:val="18"/>
                <w:szCs w:val="18"/>
                <w:lang w:eastAsia="de-DE"/>
              </w:rPr>
              <w:t xml:space="preserve">, der Sommer, der ist da </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 xml:space="preserve">G–Dur </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Lachend, lachend kommt der Sommer</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D–Dur</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proofErr w:type="spellStart"/>
            <w:r w:rsidRPr="00D84FD5">
              <w:rPr>
                <w:rFonts w:ascii="Arial" w:eastAsia="Times New Roman" w:hAnsi="Arial" w:cs="Arial"/>
                <w:sz w:val="18"/>
                <w:szCs w:val="18"/>
                <w:lang w:eastAsia="de-DE"/>
              </w:rPr>
              <w:t>Hejo</w:t>
            </w:r>
            <w:proofErr w:type="spellEnd"/>
            <w:r w:rsidRPr="00D84FD5">
              <w:rPr>
                <w:rFonts w:ascii="Arial" w:eastAsia="Times New Roman" w:hAnsi="Arial" w:cs="Arial"/>
                <w:sz w:val="18"/>
                <w:szCs w:val="18"/>
                <w:lang w:eastAsia="de-DE"/>
              </w:rPr>
              <w:t>, spann den Wagen an</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g–Moll</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Bunt sind schon die Wälder</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G–Dur</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Ich geh mit meiner Laterne</w:t>
            </w:r>
            <w:r w:rsidRPr="00D84FD5" w:rsidDel="001A61AD">
              <w:rPr>
                <w:rFonts w:ascii="Arial" w:eastAsia="Times New Roman" w:hAnsi="Arial" w:cs="Arial"/>
                <w:sz w:val="18"/>
                <w:szCs w:val="18"/>
                <w:lang w:eastAsia="de-DE"/>
              </w:rPr>
              <w:t xml:space="preserve"> </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G–Dur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Bruder Jakob</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F–Dur</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 xml:space="preserve">Weißt du, wieviel Sternlein stehen? </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F–Dur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 xml:space="preserve">Der Mond ist aufgegangen </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F–Dur</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 xml:space="preserve">Tragt in die Welt nun ein Licht </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G–Dur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Wir sagen euch an den lieben Advent (M: Heinrich Rohr, 1954)</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F–Dur</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Ihr Kinderlein kommet</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F–Dur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O du fröhliche</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D–Dur</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Schneeflöckchen, Weißröckchen</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F–Dur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Einigkeit und Recht und Freiheit</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D–Dur</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 xml:space="preserve">Viel Glück und viel Segen </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D–Dur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Freude, schöner Götterfunken</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G–Dur</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 xml:space="preserve">Auf der Mauer, auf der Lauer </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F–Dur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Mein Hut, der hat drei Ecken</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D-Dur</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Guten Morgen, liebe Sonne</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F–Dur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Es klappert die Mühle am rauschenden Bach</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 xml:space="preserve">F–Dur </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 xml:space="preserve">Brüderchen, komm </w:t>
            </w:r>
            <w:proofErr w:type="spellStart"/>
            <w:r w:rsidRPr="00D84FD5">
              <w:rPr>
                <w:rFonts w:ascii="Arial" w:eastAsia="Times New Roman" w:hAnsi="Arial" w:cs="Arial"/>
                <w:sz w:val="18"/>
                <w:szCs w:val="18"/>
                <w:lang w:eastAsia="de-DE"/>
              </w:rPr>
              <w:t>tanz</w:t>
            </w:r>
            <w:proofErr w:type="spellEnd"/>
            <w:r w:rsidRPr="00D84FD5">
              <w:rPr>
                <w:rFonts w:ascii="Arial" w:eastAsia="Times New Roman" w:hAnsi="Arial" w:cs="Arial"/>
                <w:sz w:val="18"/>
                <w:szCs w:val="18"/>
                <w:lang w:eastAsia="de-DE"/>
              </w:rPr>
              <w:t xml:space="preserve"> mit mir</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F–Dur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 xml:space="preserve">Es führt über den Main </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d–Moll</w:t>
            </w:r>
          </w:p>
        </w:tc>
      </w:tr>
      <w:tr w:rsidR="009612C4" w:rsidRPr="00D84FD5" w:rsidTr="00E545C8">
        <w:tc>
          <w:tcPr>
            <w:tcW w:w="354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Summ, summ, summ, Bienchen summ herum</w:t>
            </w:r>
          </w:p>
        </w:tc>
        <w:tc>
          <w:tcPr>
            <w:tcW w:w="992"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G–Dur</w:t>
            </w:r>
          </w:p>
        </w:tc>
        <w:tc>
          <w:tcPr>
            <w:tcW w:w="386" w:type="dxa"/>
            <w:shd w:val="clear" w:color="auto" w:fill="F3F3F3"/>
          </w:tcPr>
          <w:p w:rsidR="009612C4" w:rsidRPr="00D84FD5" w:rsidRDefault="009612C4" w:rsidP="00E545C8">
            <w:pPr>
              <w:spacing w:before="80" w:after="80" w:line="240" w:lineRule="auto"/>
              <w:rPr>
                <w:rFonts w:ascii="Arial" w:eastAsia="Times New Roman" w:hAnsi="Arial" w:cs="Arial"/>
                <w:sz w:val="18"/>
                <w:szCs w:val="18"/>
                <w:lang w:eastAsia="de-DE"/>
              </w:rPr>
            </w:pPr>
          </w:p>
        </w:tc>
        <w:tc>
          <w:tcPr>
            <w:tcW w:w="3300"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Kein schöner Land</w:t>
            </w:r>
          </w:p>
        </w:tc>
        <w:tc>
          <w:tcPr>
            <w:tcW w:w="1134" w:type="dxa"/>
          </w:tcPr>
          <w:p w:rsidR="009612C4" w:rsidRPr="00D84FD5" w:rsidRDefault="009612C4" w:rsidP="00E545C8">
            <w:pPr>
              <w:spacing w:before="80" w:after="80" w:line="240" w:lineRule="auto"/>
              <w:rPr>
                <w:rFonts w:ascii="Arial" w:eastAsia="Times New Roman" w:hAnsi="Arial" w:cs="Arial"/>
                <w:sz w:val="18"/>
                <w:szCs w:val="18"/>
                <w:lang w:eastAsia="de-DE"/>
              </w:rPr>
            </w:pPr>
            <w:r w:rsidRPr="00D84FD5">
              <w:rPr>
                <w:rFonts w:ascii="Arial" w:eastAsia="Times New Roman" w:hAnsi="Arial" w:cs="Arial"/>
                <w:sz w:val="18"/>
                <w:szCs w:val="18"/>
                <w:lang w:eastAsia="de-DE"/>
              </w:rPr>
              <w:t>F–Dur</w:t>
            </w:r>
          </w:p>
        </w:tc>
      </w:tr>
    </w:tbl>
    <w:p w:rsidR="009612C4" w:rsidRPr="00D84FD5" w:rsidRDefault="009612C4" w:rsidP="009612C4">
      <w:pPr>
        <w:spacing w:before="60" w:after="60" w:line="360" w:lineRule="auto"/>
        <w:jc w:val="both"/>
        <w:rPr>
          <w:rFonts w:ascii="Arial" w:eastAsia="Times New Roman" w:hAnsi="Arial" w:cs="Arial"/>
          <w:sz w:val="20"/>
          <w:lang w:eastAsia="de-DE"/>
        </w:rPr>
      </w:pPr>
    </w:p>
    <w:p w:rsidR="009612C4" w:rsidRPr="00D84FD5" w:rsidRDefault="009612C4" w:rsidP="009612C4">
      <w:pPr>
        <w:spacing w:before="60" w:after="60" w:line="240" w:lineRule="auto"/>
        <w:jc w:val="both"/>
        <w:rPr>
          <w:rFonts w:ascii="Arial" w:eastAsia="Times New Roman" w:hAnsi="Arial" w:cs="Arial"/>
          <w:sz w:val="20"/>
          <w:lang w:eastAsia="de-DE"/>
        </w:rPr>
      </w:pPr>
      <w:r w:rsidRPr="00D84FD5">
        <w:rPr>
          <w:rFonts w:ascii="Arial" w:eastAsia="Times New Roman" w:hAnsi="Arial" w:cs="Arial"/>
          <w:sz w:val="20"/>
          <w:lang w:eastAsia="de-DE"/>
        </w:rPr>
        <w:t xml:space="preserve">Über diese hier vorgeschlagenen Lieder </w:t>
      </w:r>
      <w:bookmarkStart w:id="0" w:name="_GoBack"/>
      <w:bookmarkEnd w:id="0"/>
      <w:r w:rsidRPr="00D84FD5">
        <w:rPr>
          <w:rFonts w:ascii="Arial" w:eastAsia="Times New Roman" w:hAnsi="Arial" w:cs="Arial"/>
          <w:sz w:val="20"/>
          <w:lang w:eastAsia="de-DE"/>
        </w:rPr>
        <w:t xml:space="preserve">hinaus sollten </w:t>
      </w:r>
      <w:r w:rsidRPr="00D84FD5">
        <w:rPr>
          <w:rFonts w:ascii="Arial" w:eastAsia="Times New Roman" w:hAnsi="Arial" w:cs="Arial"/>
          <w:b/>
          <w:sz w:val="20"/>
          <w:lang w:eastAsia="de-DE"/>
        </w:rPr>
        <w:t>weitere Lieder</w:t>
      </w:r>
      <w:r w:rsidRPr="00D84FD5">
        <w:rPr>
          <w:rFonts w:ascii="Arial" w:eastAsia="Times New Roman" w:hAnsi="Arial" w:cs="Arial"/>
          <w:sz w:val="20"/>
          <w:lang w:eastAsia="de-DE"/>
        </w:rPr>
        <w:t xml:space="preserve"> aus den verschiedenen Themenbereichen ausgewählt werden (Teilkompetenzen 3.1.1.1 bzw. 3.2.1.1, Fest– und Jahreskreis, Tageslauf, Lieder aus Heimat und Welt, überlieferte und aktuelle Lieder, Spiel– und Tanzlieder, Lieder in Mundart und in Fremdsprachen) und um Lieder und Sprechstücke unterschiedlicher Formen und Stile ergänzt werden (traditionelle Liedformen, Kanons, Reime, Raps und </w:t>
      </w:r>
      <w:proofErr w:type="spellStart"/>
      <w:r w:rsidRPr="00D84FD5">
        <w:rPr>
          <w:rFonts w:ascii="Arial" w:eastAsia="Times New Roman" w:hAnsi="Arial" w:cs="Arial"/>
          <w:sz w:val="20"/>
          <w:lang w:eastAsia="de-DE"/>
        </w:rPr>
        <w:t>Rhythmicals</w:t>
      </w:r>
      <w:proofErr w:type="spellEnd"/>
      <w:r w:rsidRPr="00D84FD5">
        <w:rPr>
          <w:rFonts w:ascii="Arial" w:eastAsia="Times New Roman" w:hAnsi="Arial" w:cs="Arial"/>
          <w:sz w:val="20"/>
          <w:lang w:eastAsia="de-DE"/>
        </w:rPr>
        <w:t xml:space="preserve">, </w:t>
      </w:r>
      <w:proofErr w:type="spellStart"/>
      <w:r w:rsidRPr="00D84FD5">
        <w:rPr>
          <w:rFonts w:ascii="Arial" w:eastAsia="Times New Roman" w:hAnsi="Arial" w:cs="Arial"/>
          <w:sz w:val="20"/>
          <w:lang w:eastAsia="de-DE"/>
        </w:rPr>
        <w:t>Vocal</w:t>
      </w:r>
      <w:proofErr w:type="spellEnd"/>
      <w:r w:rsidRPr="00D84FD5">
        <w:rPr>
          <w:rFonts w:ascii="Arial" w:eastAsia="Times New Roman" w:hAnsi="Arial" w:cs="Arial"/>
          <w:sz w:val="20"/>
          <w:lang w:eastAsia="de-DE"/>
        </w:rPr>
        <w:t xml:space="preserve"> Percussion). </w:t>
      </w:r>
    </w:p>
    <w:p w:rsidR="009612C4" w:rsidRPr="00D84FD5" w:rsidRDefault="009612C4" w:rsidP="009612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before="100" w:beforeAutospacing="1" w:after="100" w:afterAutospacing="1" w:line="240" w:lineRule="auto"/>
        <w:jc w:val="both"/>
        <w:rPr>
          <w:rFonts w:ascii="Arial" w:hAnsi="Arial" w:cs="Arial"/>
          <w:sz w:val="20"/>
        </w:rPr>
      </w:pPr>
      <w:r w:rsidRPr="00D84FD5">
        <w:rPr>
          <w:rFonts w:ascii="Arial" w:hAnsi="Arial" w:cs="Arial"/>
          <w:sz w:val="20"/>
        </w:rPr>
        <w:t>Als Richtwert sollten insgesamt 10 bis 12 Lieder pro Schuljahr gesungen werden, die im  Schulcurriculum festgelegt werden. Die Auswahl setzt sich aus einer Mischung von  traditionellen und  aktuellen  Liedern zusammen.</w:t>
      </w:r>
    </w:p>
    <w:p w:rsidR="009612C4" w:rsidRPr="00D84FD5" w:rsidRDefault="009612C4" w:rsidP="009612C4">
      <w:pPr>
        <w:spacing w:after="0"/>
        <w:rPr>
          <w:rFonts w:ascii="Arial" w:eastAsia="Times New Roman" w:hAnsi="Arial" w:cs="Arial"/>
          <w:b/>
          <w:sz w:val="27"/>
          <w:szCs w:val="27"/>
          <w:lang w:eastAsia="de-DE"/>
        </w:rPr>
      </w:pPr>
    </w:p>
    <w:p w:rsidR="009612C4" w:rsidRDefault="009612C4" w:rsidP="009612C4"/>
    <w:p w:rsidR="001230FD" w:rsidRDefault="001230FD"/>
    <w:sectPr w:rsidR="001230FD" w:rsidSect="001E03DE">
      <w:footerReference w:type="default" r:id="rId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0F" w:rsidRDefault="006E570F">
      <w:pPr>
        <w:spacing w:after="0" w:line="240" w:lineRule="auto"/>
      </w:pPr>
      <w:r>
        <w:separator/>
      </w:r>
    </w:p>
  </w:endnote>
  <w:endnote w:type="continuationSeparator" w:id="0">
    <w:p w:rsidR="006E570F" w:rsidRDefault="006E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9D" w:rsidRDefault="006E570F">
    <w:pPr>
      <w:pStyle w:val="Fuzeile"/>
    </w:pPr>
  </w:p>
  <w:p w:rsidR="003E449D" w:rsidRDefault="006E57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0F" w:rsidRDefault="006E570F">
      <w:pPr>
        <w:spacing w:after="0" w:line="240" w:lineRule="auto"/>
      </w:pPr>
      <w:r>
        <w:separator/>
      </w:r>
    </w:p>
  </w:footnote>
  <w:footnote w:type="continuationSeparator" w:id="0">
    <w:p w:rsidR="006E570F" w:rsidRDefault="006E5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C4"/>
    <w:rsid w:val="001230FD"/>
    <w:rsid w:val="00666EB6"/>
    <w:rsid w:val="006E570F"/>
    <w:rsid w:val="00961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2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9612C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61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2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9612C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6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3</cp:revision>
  <dcterms:created xsi:type="dcterms:W3CDTF">2016-04-04T00:32:00Z</dcterms:created>
  <dcterms:modified xsi:type="dcterms:W3CDTF">2016-04-04T01:02:00Z</dcterms:modified>
</cp:coreProperties>
</file>