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BD" w:rsidRDefault="00DF41BD" w:rsidP="00DF41BD">
      <w:pPr>
        <w:pStyle w:val="berschrift1"/>
      </w:pPr>
      <w:r>
        <w:t>Leitperspektiven</w:t>
      </w:r>
    </w:p>
    <w:p w:rsidR="00DF41BD" w:rsidRDefault="00DF41BD" w:rsidP="00DF41BD">
      <w:pPr>
        <w:pStyle w:val="StandardWeb"/>
        <w:rPr>
          <w:rFonts w:ascii="Arial" w:hAnsi="Arial" w:cs="Arial"/>
        </w:rPr>
      </w:pPr>
      <w:r w:rsidRPr="00C31123">
        <w:rPr>
          <w:rFonts w:ascii="Arial" w:hAnsi="Arial" w:cs="Arial"/>
        </w:rPr>
        <w:t>Bei den Leitperspektiven handelt es sich um handlungsleitende Themen, die nicht einem einzigen Fach zugeordnet werden, sondern übergreifend in verschiedenen Fächern behandelt werden sollen. Es wird zwischen allgemeinen und themenspezif</w:t>
      </w:r>
      <w:r w:rsidRPr="00C31123">
        <w:rPr>
          <w:rFonts w:ascii="Arial" w:hAnsi="Arial" w:cs="Arial"/>
        </w:rPr>
        <w:t>i</w:t>
      </w:r>
      <w:r w:rsidRPr="00C31123">
        <w:rPr>
          <w:rFonts w:ascii="Arial" w:hAnsi="Arial" w:cs="Arial"/>
        </w:rPr>
        <w:t>schen Leitperspektiven unterschieden. Während die allgemeinen Leitperspektiven auf die Stärkung der Persönlichkeit, Teilhabe und Gemeinschaftsbildung abzielen, sind die themenspezifischen Leitperspektiven auf die Orientierung der Schülerinnen und Schüler in der modernen Lebenswelt ausgerichtet.</w:t>
      </w:r>
      <w:r w:rsidRPr="00C31123">
        <w:rPr>
          <w:rFonts w:ascii="Arial" w:hAnsi="Arial" w:cs="Arial"/>
        </w:rPr>
        <w:br/>
      </w:r>
    </w:p>
    <w:p w:rsidR="00DF41BD" w:rsidRPr="00C31123" w:rsidRDefault="00DF41BD" w:rsidP="00DF41BD">
      <w:pPr>
        <w:pStyle w:val="StandardWeb"/>
        <w:rPr>
          <w:rFonts w:ascii="Arial" w:hAnsi="Arial" w:cs="Arial"/>
        </w:rPr>
      </w:pPr>
      <w:r w:rsidRPr="00C31123">
        <w:rPr>
          <w:rFonts w:ascii="Arial" w:hAnsi="Arial" w:cs="Arial"/>
        </w:rPr>
        <w:t>Allgemeine Leitperspektiven:</w:t>
      </w:r>
    </w:p>
    <w:p w:rsidR="00DF41BD" w:rsidRPr="005E3803" w:rsidRDefault="00DF41BD" w:rsidP="00DF41BD">
      <w:pPr>
        <w:numPr>
          <w:ilvl w:val="0"/>
          <w:numId w:val="1"/>
        </w:numPr>
        <w:spacing w:before="100" w:beforeAutospacing="1" w:after="100" w:afterAutospacing="1"/>
      </w:pPr>
      <w:r w:rsidRPr="005E3803">
        <w:t>Bildung für nachhaltige Entwicklung</w:t>
      </w:r>
      <w:r>
        <w:t xml:space="preserve"> (BNE)</w:t>
      </w:r>
    </w:p>
    <w:p w:rsidR="00DF41BD" w:rsidRPr="005E3803" w:rsidRDefault="00DF41BD" w:rsidP="00DF41BD">
      <w:pPr>
        <w:numPr>
          <w:ilvl w:val="0"/>
          <w:numId w:val="1"/>
        </w:numPr>
        <w:spacing w:before="100" w:beforeAutospacing="1" w:after="100" w:afterAutospacing="1"/>
      </w:pPr>
      <w:r w:rsidRPr="005E3803">
        <w:t>Bildung für Toleranz und Akzeptanz von Vielfalt</w:t>
      </w:r>
      <w:r>
        <w:t xml:space="preserve"> (BTV)</w:t>
      </w:r>
    </w:p>
    <w:p w:rsidR="00DF41BD" w:rsidRPr="005E3803" w:rsidRDefault="00DF41BD" w:rsidP="00DF41BD">
      <w:pPr>
        <w:numPr>
          <w:ilvl w:val="0"/>
          <w:numId w:val="1"/>
        </w:numPr>
        <w:spacing w:before="100" w:beforeAutospacing="1" w:after="100" w:afterAutospacing="1"/>
      </w:pPr>
      <w:r w:rsidRPr="005E3803">
        <w:t>Prävention und Gesundheitsförderung</w:t>
      </w:r>
      <w:r>
        <w:t xml:space="preserve"> (PG)</w:t>
      </w:r>
    </w:p>
    <w:p w:rsidR="00DF41BD" w:rsidRPr="00C31123" w:rsidRDefault="00DF41BD" w:rsidP="00DF41BD">
      <w:pPr>
        <w:pStyle w:val="StandardWeb"/>
        <w:rPr>
          <w:rFonts w:ascii="Arial" w:hAnsi="Arial" w:cs="Arial"/>
        </w:rPr>
      </w:pPr>
      <w:r w:rsidRPr="00C31123">
        <w:rPr>
          <w:rFonts w:ascii="Arial" w:hAnsi="Arial" w:cs="Arial"/>
        </w:rPr>
        <w:t>Themenspezifische Leitperspektiven:</w:t>
      </w:r>
    </w:p>
    <w:p w:rsidR="00DF41BD" w:rsidRPr="005E3803" w:rsidRDefault="00DF41BD" w:rsidP="00DF41BD">
      <w:pPr>
        <w:numPr>
          <w:ilvl w:val="0"/>
          <w:numId w:val="2"/>
        </w:numPr>
        <w:spacing w:before="100" w:beforeAutospacing="1" w:after="100" w:afterAutospacing="1"/>
      </w:pPr>
      <w:r w:rsidRPr="005E3803">
        <w:t>Berufliche Orientierung</w:t>
      </w:r>
      <w:r>
        <w:t xml:space="preserve"> (BO)</w:t>
      </w:r>
    </w:p>
    <w:p w:rsidR="00DF41BD" w:rsidRPr="005E3803" w:rsidRDefault="00DF41BD" w:rsidP="00DF41BD">
      <w:pPr>
        <w:numPr>
          <w:ilvl w:val="0"/>
          <w:numId w:val="2"/>
        </w:numPr>
        <w:spacing w:before="100" w:beforeAutospacing="1" w:after="100" w:afterAutospacing="1"/>
      </w:pPr>
      <w:r w:rsidRPr="005E3803">
        <w:t>Medienbildung</w:t>
      </w:r>
      <w:r>
        <w:t xml:space="preserve"> (MB)</w:t>
      </w:r>
    </w:p>
    <w:p w:rsidR="00DF41BD" w:rsidRPr="005E3803" w:rsidRDefault="00DF41BD" w:rsidP="00DF41BD">
      <w:pPr>
        <w:numPr>
          <w:ilvl w:val="0"/>
          <w:numId w:val="2"/>
        </w:numPr>
        <w:spacing w:before="100" w:beforeAutospacing="1" w:after="100" w:afterAutospacing="1"/>
      </w:pPr>
      <w:r w:rsidRPr="005E3803">
        <w:t>Verbraucherbildung</w:t>
      </w:r>
      <w:r>
        <w:t xml:space="preserve"> (VB)</w:t>
      </w:r>
    </w:p>
    <w:p w:rsidR="00DF41BD" w:rsidRPr="00C31123" w:rsidRDefault="00DF41BD" w:rsidP="00DF41BD">
      <w:pPr>
        <w:pStyle w:val="StandardWeb"/>
        <w:rPr>
          <w:rFonts w:ascii="Arial" w:hAnsi="Arial" w:cs="Arial"/>
        </w:rPr>
      </w:pPr>
      <w:r w:rsidRPr="00C31123">
        <w:rPr>
          <w:rFonts w:ascii="Arial" w:hAnsi="Arial" w:cs="Arial"/>
        </w:rPr>
        <w:t xml:space="preserve">Quelle: </w:t>
      </w:r>
      <w:hyperlink r:id="rId8" w:history="1">
        <w:r w:rsidRPr="00C31123">
          <w:rPr>
            <w:rStyle w:val="Hyperlink"/>
            <w:rFonts w:ascii="Arial" w:hAnsi="Arial" w:cs="Arial"/>
          </w:rPr>
          <w:t>www.kultusportal-bw.de/</w:t>
        </w:r>
      </w:hyperlink>
      <w:r w:rsidRPr="00C31123">
        <w:rPr>
          <w:rFonts w:ascii="Arial" w:hAnsi="Arial" w:cs="Arial"/>
        </w:rPr>
        <w:t xml:space="preserve">... </w:t>
      </w:r>
    </w:p>
    <w:p w:rsidR="00DF41BD" w:rsidRPr="00C31123" w:rsidRDefault="00DF41BD" w:rsidP="00DF41BD">
      <w:pPr>
        <w:pStyle w:val="StandardWeb"/>
        <w:rPr>
          <w:rFonts w:ascii="Arial" w:hAnsi="Arial" w:cs="Arial"/>
        </w:rPr>
      </w:pPr>
      <w:r w:rsidRPr="00C31123">
        <w:rPr>
          <w:rFonts w:ascii="Arial" w:hAnsi="Arial" w:cs="Arial"/>
        </w:rPr>
        <w:t xml:space="preserve">Das Fach Sport leistet folgende Beiträge zu den Leitperspektiven: </w:t>
      </w:r>
    </w:p>
    <w:p w:rsidR="00DF41BD" w:rsidRPr="00C31123" w:rsidRDefault="00DF41BD" w:rsidP="00DF41BD">
      <w:pPr>
        <w:pStyle w:val="berschrift3"/>
        <w:rPr>
          <w:rFonts w:ascii="Arial" w:hAnsi="Arial" w:cs="Arial"/>
        </w:rPr>
      </w:pPr>
      <w:r w:rsidRPr="00C31123">
        <w:rPr>
          <w:rFonts w:ascii="Arial" w:hAnsi="Arial" w:cs="Arial"/>
        </w:rPr>
        <w:t xml:space="preserve">Bildung für nachhaltige Entwicklung (BNE) </w:t>
      </w:r>
    </w:p>
    <w:p w:rsidR="00DF41BD" w:rsidRPr="00C31123" w:rsidRDefault="00DF41BD" w:rsidP="00DF41BD">
      <w:pPr>
        <w:pStyle w:val="StandardWeb"/>
        <w:rPr>
          <w:rFonts w:ascii="Arial" w:hAnsi="Arial" w:cs="Arial"/>
        </w:rPr>
      </w:pPr>
      <w:r w:rsidRPr="00C31123">
        <w:rPr>
          <w:rFonts w:ascii="Arial" w:hAnsi="Arial" w:cs="Arial"/>
        </w:rPr>
        <w:t>Die Leitperspektive „Bildung für nachhaltige Entwicklung“ findet im Fach Sport B</w:t>
      </w:r>
      <w:r w:rsidRPr="00C31123">
        <w:rPr>
          <w:rFonts w:ascii="Arial" w:hAnsi="Arial" w:cs="Arial"/>
        </w:rPr>
        <w:t>e</w:t>
      </w:r>
      <w:r w:rsidRPr="00C31123">
        <w:rPr>
          <w:rFonts w:ascii="Arial" w:hAnsi="Arial" w:cs="Arial"/>
        </w:rPr>
        <w:t>rücksichtigung im Bereich der Gesundheitsförderung, im umweltbewussten Verhalten beim Sporttreiben in der Natur und in der kritischen Auseinandersetzung mit der g</w:t>
      </w:r>
      <w:r w:rsidRPr="00C31123">
        <w:rPr>
          <w:rFonts w:ascii="Arial" w:hAnsi="Arial" w:cs="Arial"/>
        </w:rPr>
        <w:t>e</w:t>
      </w:r>
      <w:r w:rsidRPr="00C31123">
        <w:rPr>
          <w:rFonts w:ascii="Arial" w:hAnsi="Arial" w:cs="Arial"/>
        </w:rPr>
        <w:t>sellschaftlichen Rolle des Sports.</w:t>
      </w:r>
    </w:p>
    <w:p w:rsidR="00DF41BD" w:rsidRPr="00C31123" w:rsidRDefault="00DF41BD" w:rsidP="00DF41BD">
      <w:pPr>
        <w:pStyle w:val="berschrift3"/>
        <w:rPr>
          <w:rFonts w:ascii="Arial" w:hAnsi="Arial" w:cs="Arial"/>
        </w:rPr>
      </w:pPr>
      <w:r w:rsidRPr="00C31123">
        <w:rPr>
          <w:rFonts w:ascii="Arial" w:hAnsi="Arial" w:cs="Arial"/>
        </w:rPr>
        <w:t xml:space="preserve">Bildung für Toleranz und Akzeptanz von Vielfalt (BTV) </w:t>
      </w:r>
    </w:p>
    <w:p w:rsidR="00DF41BD" w:rsidRPr="00C31123" w:rsidRDefault="00DF41BD" w:rsidP="00DF41BD">
      <w:pPr>
        <w:pStyle w:val="StandardWeb"/>
        <w:rPr>
          <w:rFonts w:ascii="Arial" w:hAnsi="Arial" w:cs="Arial"/>
        </w:rPr>
      </w:pPr>
      <w:r w:rsidRPr="00C31123">
        <w:rPr>
          <w:rFonts w:ascii="Arial" w:hAnsi="Arial" w:cs="Arial"/>
        </w:rPr>
        <w:t>Die Leitperspektive „Bildung für Toleranz und Akzeptanz von Vielfalt“ wird durch B</w:t>
      </w:r>
      <w:r w:rsidRPr="00C31123">
        <w:rPr>
          <w:rFonts w:ascii="Arial" w:hAnsi="Arial" w:cs="Arial"/>
        </w:rPr>
        <w:t>e</w:t>
      </w:r>
      <w:r w:rsidRPr="00C31123">
        <w:rPr>
          <w:rFonts w:ascii="Arial" w:hAnsi="Arial" w:cs="Arial"/>
        </w:rPr>
        <w:t>wegung, Spiel und Sport aufgrund der körperlichen Dimension unmittelbar von den Schülerinnen und Schülern erlebt. Wertorientiertes Handeln, Toleranz, Solidarität, Konfliktbewältigung und Interessenausgleich werden im sportlichen Handeln mite</w:t>
      </w:r>
      <w:r w:rsidRPr="00C31123">
        <w:rPr>
          <w:rFonts w:ascii="Arial" w:hAnsi="Arial" w:cs="Arial"/>
        </w:rPr>
        <w:t>i</w:t>
      </w:r>
      <w:r w:rsidRPr="00C31123">
        <w:rPr>
          <w:rFonts w:ascii="Arial" w:hAnsi="Arial" w:cs="Arial"/>
        </w:rPr>
        <w:t>nander eingeübt und sind unabdingbare Voraussetzungen für gemeinsames Spor</w:t>
      </w:r>
      <w:r w:rsidRPr="00C31123">
        <w:rPr>
          <w:rFonts w:ascii="Arial" w:hAnsi="Arial" w:cs="Arial"/>
        </w:rPr>
        <w:t>t</w:t>
      </w:r>
      <w:r w:rsidRPr="00C31123">
        <w:rPr>
          <w:rFonts w:ascii="Arial" w:hAnsi="Arial" w:cs="Arial"/>
        </w:rPr>
        <w:t>treiben. Ziel ist die Förderung von Respekt, gegenseitiger Achtung und Wertschä</w:t>
      </w:r>
      <w:r w:rsidRPr="00C31123">
        <w:rPr>
          <w:rFonts w:ascii="Arial" w:hAnsi="Arial" w:cs="Arial"/>
        </w:rPr>
        <w:t>t</w:t>
      </w:r>
      <w:r w:rsidRPr="00C31123">
        <w:rPr>
          <w:rFonts w:ascii="Arial" w:hAnsi="Arial" w:cs="Arial"/>
        </w:rPr>
        <w:t xml:space="preserve">zung von Verschiedenheit, auch damit sich die Schülerinnen und Schüler frei und ohne Angst vor Diskriminierung artikulieren können. </w:t>
      </w:r>
    </w:p>
    <w:p w:rsidR="00DF41BD" w:rsidRPr="00C31123" w:rsidRDefault="00DF41BD" w:rsidP="00DF41BD">
      <w:pPr>
        <w:pStyle w:val="berschrift3"/>
        <w:rPr>
          <w:rFonts w:ascii="Arial" w:hAnsi="Arial" w:cs="Arial"/>
        </w:rPr>
      </w:pPr>
      <w:r w:rsidRPr="00C31123">
        <w:rPr>
          <w:rFonts w:ascii="Arial" w:hAnsi="Arial" w:cs="Arial"/>
        </w:rPr>
        <w:t xml:space="preserve">Prävention und Gesundheitsförderung (PG) </w:t>
      </w:r>
    </w:p>
    <w:p w:rsidR="00DF41BD" w:rsidRPr="00C31123" w:rsidRDefault="00DF41BD" w:rsidP="00DF41BD">
      <w:pPr>
        <w:pStyle w:val="StandardWeb"/>
        <w:rPr>
          <w:rFonts w:ascii="Arial" w:hAnsi="Arial" w:cs="Arial"/>
        </w:rPr>
      </w:pPr>
      <w:r w:rsidRPr="00C31123">
        <w:rPr>
          <w:rFonts w:ascii="Arial" w:hAnsi="Arial" w:cs="Arial"/>
        </w:rPr>
        <w:t>Die Leitperspektive „Prävention und Gesundheitsförderung“, welche eine gesun</w:t>
      </w:r>
      <w:r w:rsidRPr="00C31123">
        <w:rPr>
          <w:rFonts w:ascii="Arial" w:hAnsi="Arial" w:cs="Arial"/>
        </w:rPr>
        <w:t>d</w:t>
      </w:r>
      <w:r w:rsidRPr="00C31123">
        <w:rPr>
          <w:rFonts w:ascii="Arial" w:hAnsi="Arial" w:cs="Arial"/>
        </w:rPr>
        <w:t>heitsfördernde Schule zum Ziel hat, ist im Fach Sport besonders wirksam verankert. Motorisches Lernen, Körperwahrnehmung, Anspannung und Entspannung, veran</w:t>
      </w:r>
      <w:r w:rsidRPr="00C31123">
        <w:rPr>
          <w:rFonts w:ascii="Arial" w:hAnsi="Arial" w:cs="Arial"/>
        </w:rPr>
        <w:t>t</w:t>
      </w:r>
      <w:r w:rsidRPr="00C31123">
        <w:rPr>
          <w:rFonts w:ascii="Arial" w:hAnsi="Arial" w:cs="Arial"/>
        </w:rPr>
        <w:lastRenderedPageBreak/>
        <w:t>wortungsvoller Umgang mit dem eigenen Körper, wertschätzendes Handeln, aber auch die Einsicht, dass Bewegung, Spiel und Sport die persönliche Lebensqualität beeinflusst, sind Beispiele, welche die Bedeutung des Fachs für diese Perspektive betonen. Insbesondere der Inhaltsbereich „Fitness entwickeln“ greift wichtige Aspe</w:t>
      </w:r>
      <w:r w:rsidRPr="00C31123">
        <w:rPr>
          <w:rFonts w:ascii="Arial" w:hAnsi="Arial" w:cs="Arial"/>
        </w:rPr>
        <w:t>k</w:t>
      </w:r>
      <w:r w:rsidRPr="00C31123">
        <w:rPr>
          <w:rFonts w:ascii="Arial" w:hAnsi="Arial" w:cs="Arial"/>
        </w:rPr>
        <w:t xml:space="preserve">te einer nachhaltigen Gesundheitsförderung auf. </w:t>
      </w:r>
      <w:r w:rsidRPr="00C31123">
        <w:rPr>
          <w:rFonts w:ascii="Arial" w:hAnsi="Arial" w:cs="Arial"/>
        </w:rPr>
        <w:br/>
        <w:t>In sportlichen Handlungssituationen lernen die Schülerinnen und Schüler, ihr Verha</w:t>
      </w:r>
      <w:r w:rsidRPr="00C31123">
        <w:rPr>
          <w:rFonts w:ascii="Arial" w:hAnsi="Arial" w:cs="Arial"/>
        </w:rPr>
        <w:t>l</w:t>
      </w:r>
      <w:r w:rsidRPr="00C31123">
        <w:rPr>
          <w:rFonts w:ascii="Arial" w:hAnsi="Arial" w:cs="Arial"/>
        </w:rPr>
        <w:t>ten, ihre Emotionen und ihre Aufmerksamkeit zu steuern. Der Fähigkeit zur Selbstr</w:t>
      </w:r>
      <w:r w:rsidRPr="00C31123">
        <w:rPr>
          <w:rFonts w:ascii="Arial" w:hAnsi="Arial" w:cs="Arial"/>
        </w:rPr>
        <w:t>e</w:t>
      </w:r>
      <w:r w:rsidRPr="00C31123">
        <w:rPr>
          <w:rFonts w:ascii="Arial" w:hAnsi="Arial" w:cs="Arial"/>
        </w:rPr>
        <w:t>gulation liegen kognitive Prozesse zugrunde, die in ihrer Gesamtheit als exekutive Funktionen bezeichnet werden. Diese können durch Bewegung, Spiel und Sport u</w:t>
      </w:r>
      <w:r w:rsidRPr="00C31123">
        <w:rPr>
          <w:rFonts w:ascii="Arial" w:hAnsi="Arial" w:cs="Arial"/>
        </w:rPr>
        <w:t>n</w:t>
      </w:r>
      <w:r w:rsidRPr="00C31123">
        <w:rPr>
          <w:rFonts w:ascii="Arial" w:hAnsi="Arial" w:cs="Arial"/>
        </w:rPr>
        <w:t xml:space="preserve">terstützt werden. Selbstregulationskompetenz ist im schulischen Kontext von großer Bedeutung, sowohl für den Erwerb der fachlichen Kompetenzen in allen Fächern als auch der sozial-emotionalen Kompetenzen während der gesamten Schulzeit. </w:t>
      </w:r>
    </w:p>
    <w:p w:rsidR="00DF41BD" w:rsidRPr="00C31123" w:rsidRDefault="00DF41BD" w:rsidP="00DF41BD">
      <w:pPr>
        <w:pStyle w:val="berschrift3"/>
        <w:rPr>
          <w:rFonts w:ascii="Arial" w:hAnsi="Arial" w:cs="Arial"/>
        </w:rPr>
      </w:pPr>
      <w:r w:rsidRPr="00C31123">
        <w:rPr>
          <w:rFonts w:ascii="Arial" w:hAnsi="Arial" w:cs="Arial"/>
        </w:rPr>
        <w:t xml:space="preserve">Berufliche Orientierung (BO) </w:t>
      </w:r>
    </w:p>
    <w:p w:rsidR="00DF41BD" w:rsidRPr="00C31123" w:rsidRDefault="00DF41BD" w:rsidP="00DF41BD">
      <w:pPr>
        <w:pStyle w:val="StandardWeb"/>
        <w:rPr>
          <w:rFonts w:ascii="Arial" w:hAnsi="Arial" w:cs="Arial"/>
        </w:rPr>
      </w:pPr>
      <w:r w:rsidRPr="00C31123">
        <w:rPr>
          <w:rFonts w:ascii="Arial" w:hAnsi="Arial" w:cs="Arial"/>
        </w:rPr>
        <w:t>Durch die individuelle Förderung der persönlichen Potenziale und Interessen der Schülerinnen und Schüler kann der Sportunterricht die berufliche Orientierung unte</w:t>
      </w:r>
      <w:r w:rsidRPr="00C31123">
        <w:rPr>
          <w:rFonts w:ascii="Arial" w:hAnsi="Arial" w:cs="Arial"/>
        </w:rPr>
        <w:t>r</w:t>
      </w:r>
      <w:r w:rsidRPr="00C31123">
        <w:rPr>
          <w:rFonts w:ascii="Arial" w:hAnsi="Arial" w:cs="Arial"/>
        </w:rPr>
        <w:t xml:space="preserve">stützen. Erfahrungen in der Durchführung von Projekten sowie die Übernahme von Verantwortung bei der Gestaltung von gemeinsamem </w:t>
      </w:r>
      <w:r>
        <w:rPr>
          <w:rFonts w:ascii="Arial" w:hAnsi="Arial" w:cs="Arial"/>
        </w:rPr>
        <w:t>Sporttreiben</w:t>
      </w:r>
      <w:r w:rsidRPr="00C31123">
        <w:rPr>
          <w:rFonts w:ascii="Arial" w:hAnsi="Arial" w:cs="Arial"/>
        </w:rPr>
        <w:t xml:space="preserve"> ermöglichen handlungsorientierte Zugänge zur Arbeits- und Berufswelt und leisten dadurch einen Beitrag zur Leitperspektive „Berufliche Orientierung“.</w:t>
      </w:r>
    </w:p>
    <w:p w:rsidR="00DF41BD" w:rsidRPr="00C31123" w:rsidRDefault="00DF41BD" w:rsidP="00DF41BD">
      <w:pPr>
        <w:pStyle w:val="berschrift3"/>
        <w:rPr>
          <w:rFonts w:ascii="Arial" w:hAnsi="Arial" w:cs="Arial"/>
        </w:rPr>
      </w:pPr>
      <w:r w:rsidRPr="00C31123">
        <w:rPr>
          <w:rFonts w:ascii="Arial" w:hAnsi="Arial" w:cs="Arial"/>
        </w:rPr>
        <w:t xml:space="preserve">Medienbildung (MB) </w:t>
      </w:r>
    </w:p>
    <w:p w:rsidR="00DF41BD" w:rsidRPr="00C31123" w:rsidRDefault="00DF41BD" w:rsidP="00DF41BD">
      <w:pPr>
        <w:pStyle w:val="StandardWeb"/>
        <w:rPr>
          <w:rFonts w:ascii="Arial" w:hAnsi="Arial" w:cs="Arial"/>
        </w:rPr>
      </w:pPr>
      <w:r w:rsidRPr="00C31123">
        <w:rPr>
          <w:rFonts w:ascii="Arial" w:hAnsi="Arial" w:cs="Arial"/>
        </w:rPr>
        <w:t>Die Leitperspektive „Medienbildung“ kommt immer dort zum Tragen, wo Medien die Analyse sowie Reflexion von sportlichen Handlungssituationen unterstützen können.</w:t>
      </w:r>
    </w:p>
    <w:p w:rsidR="00DF41BD" w:rsidRPr="00C31123" w:rsidRDefault="00DF41BD" w:rsidP="00DF41BD">
      <w:pPr>
        <w:pStyle w:val="berschrift3"/>
        <w:rPr>
          <w:rFonts w:ascii="Arial" w:hAnsi="Arial" w:cs="Arial"/>
        </w:rPr>
      </w:pPr>
      <w:r w:rsidRPr="00C31123">
        <w:rPr>
          <w:rFonts w:ascii="Arial" w:hAnsi="Arial" w:cs="Arial"/>
        </w:rPr>
        <w:t xml:space="preserve">Verbraucherbildung (VB) </w:t>
      </w:r>
    </w:p>
    <w:p w:rsidR="00DF41BD" w:rsidRPr="00C31123" w:rsidRDefault="00DF41BD" w:rsidP="00DF41BD">
      <w:pPr>
        <w:pStyle w:val="StandardWeb"/>
        <w:rPr>
          <w:rFonts w:ascii="Arial" w:hAnsi="Arial" w:cs="Arial"/>
        </w:rPr>
      </w:pPr>
      <w:r w:rsidRPr="00C31123">
        <w:rPr>
          <w:rFonts w:ascii="Arial" w:hAnsi="Arial" w:cs="Arial"/>
        </w:rPr>
        <w:t>Die Leitperspektive „Verbraucherbildung“ bietet Orientierung in jenen Bereichen, wo es um die Reflexion von Lebensgewohnheiten und daraus resultierenden Kons</w:t>
      </w:r>
      <w:r w:rsidRPr="00C31123">
        <w:rPr>
          <w:rFonts w:ascii="Arial" w:hAnsi="Arial" w:cs="Arial"/>
        </w:rPr>
        <w:t>u</w:t>
      </w:r>
      <w:r w:rsidRPr="00C31123">
        <w:rPr>
          <w:rFonts w:ascii="Arial" w:hAnsi="Arial" w:cs="Arial"/>
        </w:rPr>
        <w:t>mentscheidungen geht (zum Beispiel sportgerechte Kleidung und erforderliche Schutzausrüstung).</w:t>
      </w:r>
    </w:p>
    <w:p w:rsidR="00DF41BD" w:rsidRDefault="00DF41BD" w:rsidP="00DF41BD">
      <w:pPr>
        <w:pStyle w:val="StandardWeb"/>
      </w:pPr>
      <w:r>
        <w:t> </w:t>
      </w:r>
    </w:p>
    <w:p w:rsidR="00DF41BD" w:rsidRDefault="00DF41BD" w:rsidP="00DF41BD">
      <w:r>
        <w:pict>
          <v:rect id="_x0000_i1025" style="width:0;height:1.5pt" o:hralign="center" o:hrstd="t" o:hr="t" fillcolor="#a0a0a0" stroked="f"/>
        </w:pict>
      </w:r>
    </w:p>
    <w:p w:rsidR="00DF41BD" w:rsidRPr="00C31123" w:rsidRDefault="00DF41BD" w:rsidP="00DF41BD">
      <w:pPr>
        <w:pStyle w:val="StandardWeb"/>
        <w:rPr>
          <w:rFonts w:ascii="Arial" w:hAnsi="Arial" w:cs="Arial"/>
        </w:rPr>
      </w:pPr>
      <w:r w:rsidRPr="00C31123">
        <w:rPr>
          <w:rFonts w:ascii="Arial" w:hAnsi="Arial" w:cs="Arial"/>
        </w:rPr>
        <w:t xml:space="preserve">Leitperspektiven: </w:t>
      </w:r>
      <w:r>
        <w:rPr>
          <w:rFonts w:ascii="Arial" w:hAnsi="Arial" w:cs="Arial"/>
          <w:noProof/>
        </w:rPr>
        <mc:AlternateContent>
          <mc:Choice Requires="wps">
            <w:drawing>
              <wp:inline distT="0" distB="0" distL="0" distR="0" wp14:anchorId="079AB4C0" wp14:editId="5514D44F">
                <wp:extent cx="304800" cy="304800"/>
                <wp:effectExtent l="0" t="635" r="635" b="0"/>
                <wp:docPr id="6" name="Rechteck 5" descr="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5" o:spid="_x0000_s1026" alt="Downlo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4BB49r8C&#10;AADHBQAADgAAAAAAAAAAAAAAAAAuAgAAZHJzL2Uyb0RvYy54bWxQSwECLQAUAAYACAAAACEATKDp&#10;LNgAAAADAQAADwAAAAAAAAAAAAAAAAAZBQAAZHJzL2Rvd25yZXYueG1sUEsFBgAAAAAEAAQA8wAA&#10;AB4GAAAAAA==&#10;" filled="f" stroked="f">
                <o:lock v:ext="edit" aspectratio="t"/>
                <w10:anchorlock/>
              </v:rect>
            </w:pict>
          </mc:Fallback>
        </mc:AlternateContent>
      </w:r>
      <w:hyperlink r:id="rId9" w:history="1">
        <w:r w:rsidRPr="00C31123">
          <w:rPr>
            <w:rStyle w:val="Hyperlink"/>
            <w:rFonts w:ascii="Arial" w:hAnsi="Arial" w:cs="Arial"/>
          </w:rPr>
          <w:t>Herunterladen</w:t>
        </w:r>
      </w:hyperlink>
      <w:r w:rsidRPr="00C31123">
        <w:rPr>
          <w:rFonts w:ascii="Arial" w:hAnsi="Arial" w:cs="Arial"/>
        </w:rPr>
        <w:t xml:space="preserve"> [</w:t>
      </w:r>
      <w:proofErr w:type="spellStart"/>
      <w:r w:rsidRPr="00C31123">
        <w:rPr>
          <w:rFonts w:ascii="Arial" w:hAnsi="Arial" w:cs="Arial"/>
        </w:rPr>
        <w:t>pdf</w:t>
      </w:r>
      <w:proofErr w:type="spellEnd"/>
      <w:r w:rsidRPr="00C31123">
        <w:rPr>
          <w:rFonts w:ascii="Arial" w:hAnsi="Arial" w:cs="Arial"/>
        </w:rPr>
        <w:t>][314 KB]</w:t>
      </w:r>
    </w:p>
    <w:p w:rsidR="00DF41BD" w:rsidRPr="00C31123" w:rsidRDefault="00DF41BD" w:rsidP="00DF41BD">
      <w:pPr>
        <w:pStyle w:val="StandardWeb"/>
        <w:rPr>
          <w:rFonts w:ascii="Arial" w:hAnsi="Arial" w:cs="Arial"/>
        </w:rPr>
      </w:pPr>
      <w:r w:rsidRPr="00C31123">
        <w:rPr>
          <w:rFonts w:ascii="Arial" w:hAnsi="Arial" w:cs="Arial"/>
        </w:rPr>
        <w:t xml:space="preserve">Weiter mit </w:t>
      </w:r>
      <w:hyperlink r:id="rId10" w:history="1">
        <w:r w:rsidRPr="00C31123">
          <w:rPr>
            <w:rStyle w:val="Hyperlink"/>
            <w:rFonts w:ascii="Arial" w:hAnsi="Arial" w:cs="Arial"/>
          </w:rPr>
          <w:t xml:space="preserve">Prozessbezogene Kompetenzen </w:t>
        </w:r>
      </w:hyperlink>
    </w:p>
    <w:p w:rsidR="00CD6932" w:rsidRPr="0044650F" w:rsidRDefault="00CD6932" w:rsidP="0044650F">
      <w:bookmarkStart w:id="0" w:name="_GoBack"/>
      <w:bookmarkEnd w:id="0"/>
    </w:p>
    <w:sectPr w:rsidR="00CD6932" w:rsidRPr="0044650F" w:rsidSect="001E03DE">
      <w:headerReference w:type="default" r:id="rId11"/>
      <w:headerReference w:type="first" r:id="rId12"/>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BD" w:rsidRDefault="00DF41BD" w:rsidP="001E03DE">
      <w:r>
        <w:separator/>
      </w:r>
    </w:p>
  </w:endnote>
  <w:endnote w:type="continuationSeparator" w:id="0">
    <w:p w:rsidR="00DF41BD" w:rsidRDefault="00DF41B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BD" w:rsidRDefault="00DF41BD" w:rsidP="001E03DE">
      <w:r>
        <w:separator/>
      </w:r>
    </w:p>
  </w:footnote>
  <w:footnote w:type="continuationSeparator" w:id="0">
    <w:p w:rsidR="00DF41BD" w:rsidRDefault="00DF41BD"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8F" w:rsidRDefault="001B3A8F" w:rsidP="001B3A8F">
    <w:pPr>
      <w:pStyle w:val="Kopfzeile"/>
    </w:pPr>
    <w:proofErr w:type="spellStart"/>
    <w:r>
      <w:t>ZPSekI</w:t>
    </w:r>
    <w:proofErr w:type="spellEnd"/>
    <w:r>
      <w:t xml:space="preserve"> Sport </w:t>
    </w:r>
    <w:r>
      <w:tab/>
      <w:t xml:space="preserve">März 2016 </w:t>
    </w:r>
    <w:r>
      <w:tab/>
      <w:t>LIS Ludwigsburg</w:t>
    </w:r>
  </w:p>
  <w:p w:rsidR="001B3A8F" w:rsidRDefault="001B3A8F">
    <w:pPr>
      <w:pStyle w:val="Kopfzeile"/>
    </w:pPr>
  </w:p>
  <w:p w:rsidR="001B3A8F" w:rsidRDefault="001B3A8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8F" w:rsidRDefault="001B3A8F" w:rsidP="001B3A8F">
    <w:pPr>
      <w:pStyle w:val="Kopfzeile"/>
    </w:pPr>
    <w:proofErr w:type="spellStart"/>
    <w:r>
      <w:t>ZPSekI</w:t>
    </w:r>
    <w:proofErr w:type="spellEnd"/>
    <w:r>
      <w:t xml:space="preserve"> Sport </w:t>
    </w:r>
    <w:r>
      <w:tab/>
      <w:t xml:space="preserve">März 2016 </w:t>
    </w:r>
    <w:r>
      <w:tab/>
      <w:t>LIS Ludwigsburg</w:t>
    </w:r>
  </w:p>
  <w:p w:rsidR="001B3A8F" w:rsidRDefault="001B3A8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B5167"/>
    <w:multiLevelType w:val="multilevel"/>
    <w:tmpl w:val="30A2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59133A"/>
    <w:multiLevelType w:val="multilevel"/>
    <w:tmpl w:val="74D2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BD"/>
    <w:rsid w:val="001A2103"/>
    <w:rsid w:val="001B3A8F"/>
    <w:rsid w:val="001E03DE"/>
    <w:rsid w:val="002223B8"/>
    <w:rsid w:val="00296589"/>
    <w:rsid w:val="0044650F"/>
    <w:rsid w:val="008A7911"/>
    <w:rsid w:val="009533B3"/>
    <w:rsid w:val="009935DA"/>
    <w:rsid w:val="009C05F9"/>
    <w:rsid w:val="00C22DA6"/>
    <w:rsid w:val="00CD6932"/>
    <w:rsid w:val="00DF41BD"/>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41BD"/>
    <w:pPr>
      <w:spacing w:line="240" w:lineRule="auto"/>
    </w:pPr>
  </w:style>
  <w:style w:type="paragraph" w:styleId="berschrift1">
    <w:name w:val="heading 1"/>
    <w:basedOn w:val="Standard"/>
    <w:link w:val="berschrift1Zchn"/>
    <w:uiPriority w:val="9"/>
    <w:qFormat/>
    <w:rsid w:val="00DF41BD"/>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DF41B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DF41BD"/>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semiHidden/>
    <w:rsid w:val="00DF41BD"/>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DF41BD"/>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DF41BD"/>
    <w:rPr>
      <w:color w:val="0000FF"/>
      <w:u w:val="single"/>
    </w:rPr>
  </w:style>
  <w:style w:type="paragraph" w:styleId="Sprechblasentext">
    <w:name w:val="Balloon Text"/>
    <w:basedOn w:val="Standard"/>
    <w:link w:val="SprechblasentextZchn"/>
    <w:uiPriority w:val="99"/>
    <w:semiHidden/>
    <w:unhideWhenUsed/>
    <w:rsid w:val="001B3A8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3A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41BD"/>
    <w:pPr>
      <w:spacing w:line="240" w:lineRule="auto"/>
    </w:pPr>
  </w:style>
  <w:style w:type="paragraph" w:styleId="berschrift1">
    <w:name w:val="heading 1"/>
    <w:basedOn w:val="Standard"/>
    <w:link w:val="berschrift1Zchn"/>
    <w:uiPriority w:val="9"/>
    <w:qFormat/>
    <w:rsid w:val="00DF41BD"/>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DF41B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DF41BD"/>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semiHidden/>
    <w:rsid w:val="00DF41BD"/>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DF41BD"/>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DF41BD"/>
    <w:rPr>
      <w:color w:val="0000FF"/>
      <w:u w:val="single"/>
    </w:rPr>
  </w:style>
  <w:style w:type="paragraph" w:styleId="Sprechblasentext">
    <w:name w:val="Balloon Text"/>
    <w:basedOn w:val="Standard"/>
    <w:link w:val="SprechblasentextZchn"/>
    <w:uiPriority w:val="99"/>
    <w:semiHidden/>
    <w:unhideWhenUsed/>
    <w:rsid w:val="001B3A8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3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sportal-bw.de/,Lde/Startseite/schulebw/Rahmenvorgaben_Eckpunkt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ehrerfortbildung-bw.de/faecher/sport/gym/fb3/02_komp/index.html" TargetMode="External"/><Relationship Id="rId4" Type="http://schemas.openxmlformats.org/officeDocument/2006/relationships/settings" Target="settings.xml"/><Relationship Id="rId9" Type="http://schemas.openxmlformats.org/officeDocument/2006/relationships/hyperlink" Target="https://lehrerfortbildung-bw.de/faecher/sport/gym/fb3/01_leit/leitperspektiven.pdf"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Baur-Fettah, Yasmin (LIS)</dc:creator>
  <cp:lastModifiedBy>Baur-Fettah, Yasmin (LIS)</cp:lastModifiedBy>
  <cp:revision>2</cp:revision>
  <dcterms:created xsi:type="dcterms:W3CDTF">2016-04-07T08:25:00Z</dcterms:created>
  <dcterms:modified xsi:type="dcterms:W3CDTF">2016-04-07T08:27:00Z</dcterms:modified>
</cp:coreProperties>
</file>