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3" w:type="dxa"/>
        <w:tblCellMar>
          <w:left w:w="10" w:type="dxa"/>
          <w:right w:w="10" w:type="dxa"/>
        </w:tblCellMar>
        <w:tblLook w:val="04A0" w:firstRow="1" w:lastRow="0" w:firstColumn="1" w:lastColumn="0" w:noHBand="0" w:noVBand="1"/>
      </w:tblPr>
      <w:tblGrid>
        <w:gridCol w:w="1951"/>
        <w:gridCol w:w="5670"/>
        <w:gridCol w:w="1872"/>
      </w:tblGrid>
      <w:tr w:rsidR="00CB6A1C">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1C" w:rsidRDefault="002B5053">
            <w:r>
              <w:rPr>
                <w:rFonts w:ascii="Arial" w:hAnsi="Arial" w:cs="Arial"/>
                <w:sz w:val="20"/>
                <w:szCs w:val="20"/>
              </w:rPr>
              <w:t>Klasse: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1C" w:rsidRDefault="002B5053">
            <w:r>
              <w:rPr>
                <w:rFonts w:ascii="Arial" w:hAnsi="Arial" w:cs="Arial"/>
                <w:sz w:val="20"/>
                <w:szCs w:val="20"/>
              </w:rPr>
              <w:t>Name: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1C" w:rsidRDefault="002B5053">
            <w:pPr>
              <w:rPr>
                <w:rFonts w:ascii="Arial" w:hAnsi="Arial" w:cs="Arial"/>
                <w:sz w:val="20"/>
                <w:szCs w:val="20"/>
              </w:rPr>
            </w:pPr>
            <w:r>
              <w:rPr>
                <w:rFonts w:ascii="Arial" w:hAnsi="Arial" w:cs="Arial"/>
                <w:sz w:val="20"/>
                <w:szCs w:val="20"/>
              </w:rPr>
              <w:t>Datum:</w:t>
            </w:r>
          </w:p>
          <w:p w:rsidR="00CB6A1C" w:rsidRDefault="00CB6A1C">
            <w:pPr>
              <w:rPr>
                <w:rFonts w:ascii="Comic Sans MS" w:hAnsi="Comic Sans MS"/>
                <w:sz w:val="36"/>
                <w:szCs w:val="36"/>
              </w:rPr>
            </w:pPr>
          </w:p>
        </w:tc>
      </w:tr>
    </w:tbl>
    <w:p w:rsidR="00CB6A1C" w:rsidRDefault="00CB6A1C">
      <w:pPr>
        <w:rPr>
          <w:rFonts w:ascii="Comic Sans MS" w:hAnsi="Comic Sans MS"/>
        </w:rPr>
      </w:pPr>
    </w:p>
    <w:p w:rsidR="00CB6A1C" w:rsidRDefault="002B5053">
      <w:pPr>
        <w:rPr>
          <w:rFonts w:ascii="Comic Sans MS" w:hAnsi="Comic Sans MS"/>
          <w:sz w:val="40"/>
          <w:szCs w:val="40"/>
        </w:rPr>
      </w:pPr>
      <w:r>
        <w:rPr>
          <w:rFonts w:ascii="Comic Sans MS" w:hAnsi="Comic Sans MS"/>
          <w:sz w:val="40"/>
          <w:szCs w:val="40"/>
        </w:rPr>
        <w:t>Slogan</w:t>
      </w:r>
    </w:p>
    <w:p w:rsidR="00CB6A1C" w:rsidRDefault="00CB6A1C">
      <w:pPr>
        <w:rPr>
          <w:rFonts w:ascii="Comic Sans MS" w:hAnsi="Comic Sans MS"/>
          <w:sz w:val="20"/>
          <w:szCs w:val="20"/>
        </w:rPr>
      </w:pPr>
    </w:p>
    <w:p w:rsidR="00CB6A1C" w:rsidRDefault="002B5053">
      <w:r>
        <w:rPr>
          <w:rFonts w:ascii="Comic Sans MS" w:hAnsi="Comic Sans MS"/>
          <w:sz w:val="20"/>
          <w:szCs w:val="20"/>
        </w:rPr>
        <w:t>Ein Slogan (dt. [</w:t>
      </w:r>
      <w:r>
        <w:rPr>
          <w:rFonts w:cs="Times New Roman"/>
          <w:sz w:val="20"/>
          <w:szCs w:val="20"/>
        </w:rPr>
        <w:t>ˈ</w:t>
      </w:r>
      <w:proofErr w:type="spellStart"/>
      <w:r>
        <w:rPr>
          <w:rFonts w:ascii="Comic Sans MS" w:hAnsi="Comic Sans MS"/>
          <w:sz w:val="20"/>
          <w:szCs w:val="20"/>
        </w:rPr>
        <w:t>slo</w:t>
      </w:r>
      <w:r>
        <w:rPr>
          <w:rFonts w:cs="Times New Roman"/>
          <w:sz w:val="20"/>
          <w:szCs w:val="20"/>
        </w:rPr>
        <w:t>ːɡ</w:t>
      </w:r>
      <w:r>
        <w:rPr>
          <w:rFonts w:ascii="Comic Sans MS" w:hAnsi="Comic Sans MS"/>
          <w:sz w:val="20"/>
          <w:szCs w:val="20"/>
        </w:rPr>
        <w:t>n</w:t>
      </w:r>
      <w:proofErr w:type="spellEnd"/>
      <w:r>
        <w:rPr>
          <w:rFonts w:cs="Times New Roman"/>
          <w:sz w:val="20"/>
          <w:szCs w:val="20"/>
        </w:rPr>
        <w:t>̩</w:t>
      </w:r>
      <w:r>
        <w:rPr>
          <w:rFonts w:ascii="Comic Sans MS" w:hAnsi="Comic Sans MS"/>
          <w:sz w:val="20"/>
          <w:szCs w:val="20"/>
        </w:rPr>
        <w:t>], engl. [</w:t>
      </w:r>
      <w:r>
        <w:rPr>
          <w:rFonts w:cs="Times New Roman"/>
          <w:sz w:val="20"/>
          <w:szCs w:val="20"/>
        </w:rPr>
        <w:t>ˈ</w:t>
      </w:r>
      <w:proofErr w:type="spellStart"/>
      <w:r>
        <w:rPr>
          <w:rFonts w:ascii="Comic Sans MS" w:hAnsi="Comic Sans MS"/>
          <w:sz w:val="20"/>
          <w:szCs w:val="20"/>
        </w:rPr>
        <w:t>sl</w:t>
      </w:r>
      <w:r>
        <w:rPr>
          <w:rFonts w:cs="Times New Roman"/>
          <w:sz w:val="20"/>
          <w:szCs w:val="20"/>
        </w:rPr>
        <w:t>əʊɡə</w:t>
      </w:r>
      <w:r>
        <w:rPr>
          <w:rFonts w:ascii="Comic Sans MS" w:hAnsi="Comic Sans MS"/>
          <w:sz w:val="20"/>
          <w:szCs w:val="20"/>
        </w:rPr>
        <w:t>n</w:t>
      </w:r>
      <w:proofErr w:type="spellEnd"/>
      <w:r>
        <w:rPr>
          <w:rFonts w:ascii="Comic Sans MS" w:hAnsi="Comic Sans MS"/>
          <w:sz w:val="20"/>
          <w:szCs w:val="20"/>
        </w:rPr>
        <w:t>]) ist ein einpr</w:t>
      </w:r>
      <w:r>
        <w:rPr>
          <w:rFonts w:ascii="Comic Sans MS" w:hAnsi="Comic Sans MS" w:cs="Comic Sans MS"/>
          <w:sz w:val="20"/>
          <w:szCs w:val="20"/>
        </w:rPr>
        <w:t>ä</w:t>
      </w:r>
      <w:r>
        <w:rPr>
          <w:rFonts w:ascii="Comic Sans MS" w:hAnsi="Comic Sans MS"/>
          <w:sz w:val="20"/>
          <w:szCs w:val="20"/>
        </w:rPr>
        <w:t>gsamer Wahlspruch.</w:t>
      </w:r>
    </w:p>
    <w:p w:rsidR="00CB6A1C" w:rsidRDefault="002B5053">
      <w:r>
        <w:rPr>
          <w:rFonts w:ascii="Comic Sans MS" w:hAnsi="Comic Sans MS"/>
          <w:sz w:val="20"/>
          <w:szCs w:val="20"/>
        </w:rPr>
        <w:t>Die Bezeichnung stammt aus der schottisch-gälischen Sprache und bezeichnet den Sammelruf der Clans</w:t>
      </w:r>
      <w:r>
        <w:rPr>
          <w:rStyle w:val="Funotenzeichen"/>
          <w:rFonts w:ascii="Comic Sans MS" w:hAnsi="Comic Sans MS"/>
          <w:sz w:val="20"/>
          <w:szCs w:val="20"/>
        </w:rPr>
        <w:footnoteReference w:id="1"/>
      </w:r>
      <w:r>
        <w:rPr>
          <w:rFonts w:ascii="Comic Sans MS" w:hAnsi="Comic Sans MS"/>
          <w:sz w:val="20"/>
          <w:szCs w:val="20"/>
        </w:rPr>
        <w:t xml:space="preserve"> (in Friedenszeiten) und den Sammel- und auch Schlachtruf während des Kampfes (im Krieg).</w:t>
      </w:r>
    </w:p>
    <w:p w:rsidR="00CB6A1C" w:rsidRDefault="002B5053">
      <w:pPr>
        <w:rPr>
          <w:rFonts w:ascii="Comic Sans MS" w:hAnsi="Comic Sans MS"/>
          <w:sz w:val="20"/>
          <w:szCs w:val="20"/>
        </w:rPr>
      </w:pPr>
      <w:r>
        <w:rPr>
          <w:rFonts w:ascii="Comic Sans MS" w:hAnsi="Comic Sans MS"/>
          <w:sz w:val="20"/>
          <w:szCs w:val="20"/>
        </w:rPr>
        <w:t xml:space="preserve">Slogans werden heute hauptsächlich in der Werbung und in der Politik verwendet. Der Slogan soll in kompakter Form eine Aussage vermitteln und das Publikum, bzw. die Zielgruppe, die man ansprechen will, sofort beeinflussen. </w:t>
      </w:r>
    </w:p>
    <w:p w:rsidR="00CB6A1C" w:rsidRDefault="00CB6A1C">
      <w:pPr>
        <w:rPr>
          <w:rFonts w:ascii="Comic Sans MS" w:hAnsi="Comic Sans MS"/>
          <w:sz w:val="20"/>
          <w:szCs w:val="20"/>
        </w:rPr>
      </w:pPr>
    </w:p>
    <w:p w:rsidR="00CB6A1C" w:rsidRDefault="002B5053">
      <w:pPr>
        <w:rPr>
          <w:rFonts w:ascii="Comic Sans MS" w:hAnsi="Comic Sans MS"/>
          <w:u w:val="single"/>
        </w:rPr>
      </w:pPr>
      <w:r>
        <w:rPr>
          <w:rFonts w:ascii="Comic Sans MS" w:hAnsi="Comic Sans MS"/>
          <w:u w:val="single"/>
        </w:rPr>
        <w:t>Eigenschaften</w:t>
      </w:r>
    </w:p>
    <w:p w:rsidR="00CB6A1C" w:rsidRDefault="002B5053">
      <w:r>
        <w:rPr>
          <w:rFonts w:ascii="Comic Sans MS" w:hAnsi="Comic Sans MS"/>
          <w:sz w:val="20"/>
          <w:szCs w:val="20"/>
        </w:rPr>
        <w:t xml:space="preserve">Ein wirksamer Slogan soll gewöhnlich mehreren der folgenden </w:t>
      </w:r>
      <w:r>
        <w:rPr>
          <w:rFonts w:ascii="Comic Sans MS" w:hAnsi="Comic Sans MS"/>
          <w:b/>
          <w:sz w:val="20"/>
          <w:szCs w:val="20"/>
        </w:rPr>
        <w:t>Richtlinien</w:t>
      </w:r>
      <w:r>
        <w:rPr>
          <w:rFonts w:ascii="Comic Sans MS" w:hAnsi="Comic Sans MS"/>
          <w:sz w:val="20"/>
          <w:szCs w:val="20"/>
        </w:rPr>
        <w:t xml:space="preserve"> folgen:</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Betonung der Vorteile von Produkt, Person oder Idee: „Vorsprung durch Technik“</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Formulierung eines Unterschieds zur Konkurrenz: „Freiheit statt Sozialismus“</w:t>
      </w:r>
    </w:p>
    <w:p w:rsidR="00CB6A1C" w:rsidRDefault="002B5053">
      <w:pPr>
        <w:pStyle w:val="Listenabsatz"/>
        <w:numPr>
          <w:ilvl w:val="0"/>
          <w:numId w:val="1"/>
        </w:numPr>
      </w:pPr>
      <w:r>
        <w:rPr>
          <w:rFonts w:ascii="Comic Sans MS" w:hAnsi="Comic Sans MS"/>
          <w:sz w:val="20"/>
          <w:szCs w:val="20"/>
        </w:rPr>
        <w:t>Einfache, direkte, prägnante</w:t>
      </w:r>
      <w:r>
        <w:rPr>
          <w:rStyle w:val="Funotenzeichen"/>
          <w:rFonts w:ascii="Comic Sans MS" w:hAnsi="Comic Sans MS"/>
          <w:sz w:val="20"/>
          <w:szCs w:val="20"/>
        </w:rPr>
        <w:footnoteReference w:id="2"/>
      </w:r>
      <w:r>
        <w:rPr>
          <w:rFonts w:ascii="Comic Sans MS" w:hAnsi="Comic Sans MS"/>
          <w:sz w:val="20"/>
          <w:szCs w:val="20"/>
        </w:rPr>
        <w:t xml:space="preserve"> und treffende Aussage: „Atomkraft, nein danke“</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Humor: „Wir können alles. Außer Hochdeutsch“</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Persönliche Ansprache und Herausstellung als Besonderheit: „Nie war er so wertvoll wie heute“</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Glaubwürdigkeit und Anschaulichkeit: „Und läuft und läuft und läuft!“</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 xml:space="preserve">Vermittlung positiver Gefühle: „Yes </w:t>
      </w:r>
      <w:proofErr w:type="spellStart"/>
      <w:r>
        <w:rPr>
          <w:rFonts w:ascii="Comic Sans MS" w:hAnsi="Comic Sans MS"/>
          <w:sz w:val="20"/>
          <w:szCs w:val="20"/>
        </w:rPr>
        <w:t>We</w:t>
      </w:r>
      <w:proofErr w:type="spellEnd"/>
      <w:r>
        <w:rPr>
          <w:rFonts w:ascii="Comic Sans MS" w:hAnsi="Comic Sans MS"/>
          <w:sz w:val="20"/>
          <w:szCs w:val="20"/>
        </w:rPr>
        <w:t xml:space="preserve"> Can“</w:t>
      </w:r>
    </w:p>
    <w:p w:rsidR="00CB6A1C" w:rsidRDefault="002B5053">
      <w:pPr>
        <w:pStyle w:val="Listenabsatz"/>
        <w:numPr>
          <w:ilvl w:val="0"/>
          <w:numId w:val="1"/>
        </w:numPr>
        <w:rPr>
          <w:rFonts w:ascii="Comic Sans MS" w:hAnsi="Comic Sans MS"/>
          <w:sz w:val="20"/>
          <w:szCs w:val="20"/>
        </w:rPr>
      </w:pPr>
      <w:r>
        <w:rPr>
          <w:rFonts w:ascii="Comic Sans MS" w:hAnsi="Comic Sans MS"/>
          <w:sz w:val="20"/>
          <w:szCs w:val="20"/>
        </w:rPr>
        <w:t>Vermittlung von Wünschen oder einem Bedarf: „Ohne Ö fehlt dir was“</w:t>
      </w:r>
    </w:p>
    <w:p w:rsidR="00CB6A1C" w:rsidRDefault="00CB6A1C">
      <w:pPr>
        <w:rPr>
          <w:rFonts w:ascii="Comic Sans MS" w:hAnsi="Comic Sans MS"/>
        </w:rPr>
      </w:pPr>
    </w:p>
    <w:p w:rsidR="00CB6A1C" w:rsidRDefault="002B5053">
      <w:pPr>
        <w:rPr>
          <w:rFonts w:ascii="Comic Sans MS" w:hAnsi="Comic Sans MS"/>
          <w:u w:val="single"/>
        </w:rPr>
      </w:pPr>
      <w:r>
        <w:rPr>
          <w:rFonts w:ascii="Comic Sans MS" w:hAnsi="Comic Sans MS"/>
          <w:u w:val="single"/>
        </w:rPr>
        <w:t>Sprachliche Mittel</w:t>
      </w:r>
    </w:p>
    <w:p w:rsidR="00CB6A1C" w:rsidRDefault="002B5053">
      <w:pPr>
        <w:rPr>
          <w:rFonts w:ascii="Comic Sans MS" w:hAnsi="Comic Sans MS"/>
          <w:sz w:val="20"/>
          <w:szCs w:val="20"/>
        </w:rPr>
      </w:pPr>
      <w:r>
        <w:rPr>
          <w:rFonts w:ascii="Comic Sans MS" w:hAnsi="Comic Sans MS"/>
          <w:sz w:val="20"/>
          <w:szCs w:val="20"/>
        </w:rPr>
        <w:t>Ein wirksamer Slogan verankert sich im Gedächtnis durch</w:t>
      </w:r>
    </w:p>
    <w:p w:rsidR="00CB6A1C" w:rsidRDefault="002B5053">
      <w:pPr>
        <w:pStyle w:val="Listenabsatz"/>
        <w:numPr>
          <w:ilvl w:val="0"/>
          <w:numId w:val="2"/>
        </w:numPr>
      </w:pPr>
      <w:r>
        <w:rPr>
          <w:rFonts w:ascii="Comic Sans MS" w:hAnsi="Comic Sans MS"/>
          <w:b/>
          <w:sz w:val="20"/>
          <w:szCs w:val="20"/>
        </w:rPr>
        <w:t>klangliche Mittel</w:t>
      </w:r>
      <w:r>
        <w:rPr>
          <w:rFonts w:ascii="Comic Sans MS" w:hAnsi="Comic Sans MS"/>
          <w:sz w:val="20"/>
          <w:szCs w:val="20"/>
        </w:rPr>
        <w:t>, die meist aus der Rhetorik</w:t>
      </w:r>
      <w:r>
        <w:rPr>
          <w:rStyle w:val="Funotenzeichen"/>
          <w:rFonts w:ascii="Comic Sans MS" w:hAnsi="Comic Sans MS"/>
          <w:sz w:val="20"/>
          <w:szCs w:val="20"/>
        </w:rPr>
        <w:footnoteReference w:id="3"/>
      </w:r>
      <w:r>
        <w:rPr>
          <w:rFonts w:ascii="Comic Sans MS" w:hAnsi="Comic Sans MS"/>
          <w:sz w:val="20"/>
          <w:szCs w:val="20"/>
        </w:rPr>
        <w:t xml:space="preserve"> oder der Dichtkunst stammen wie:</w:t>
      </w:r>
    </w:p>
    <w:p w:rsidR="00CB6A1C" w:rsidRDefault="002B5053">
      <w:pPr>
        <w:pStyle w:val="Listenabsatz"/>
        <w:numPr>
          <w:ilvl w:val="0"/>
          <w:numId w:val="3"/>
        </w:numPr>
        <w:rPr>
          <w:rFonts w:ascii="Comic Sans MS" w:hAnsi="Comic Sans MS"/>
          <w:sz w:val="20"/>
          <w:szCs w:val="20"/>
        </w:rPr>
      </w:pPr>
      <w:r>
        <w:rPr>
          <w:rFonts w:ascii="Comic Sans MS" w:hAnsi="Comic Sans MS"/>
          <w:sz w:val="20"/>
          <w:szCs w:val="20"/>
        </w:rPr>
        <w:t>Alliteration (Stabreim): „Bitte ein Bit“; „Mars macht mobil“</w:t>
      </w:r>
    </w:p>
    <w:p w:rsidR="00CB6A1C" w:rsidRDefault="002B5053">
      <w:pPr>
        <w:pStyle w:val="Listenabsatz"/>
        <w:numPr>
          <w:ilvl w:val="0"/>
          <w:numId w:val="3"/>
        </w:numPr>
        <w:rPr>
          <w:rFonts w:ascii="Comic Sans MS" w:hAnsi="Comic Sans MS"/>
          <w:sz w:val="20"/>
          <w:szCs w:val="20"/>
        </w:rPr>
      </w:pPr>
      <w:r>
        <w:rPr>
          <w:rFonts w:ascii="Comic Sans MS" w:hAnsi="Comic Sans MS"/>
          <w:sz w:val="20"/>
          <w:szCs w:val="20"/>
        </w:rPr>
        <w:t>Endreim: „Haribo macht Kinder froh“</w:t>
      </w:r>
    </w:p>
    <w:p w:rsidR="00CB6A1C" w:rsidRDefault="002B5053">
      <w:pPr>
        <w:pStyle w:val="Listenabsatz"/>
        <w:numPr>
          <w:ilvl w:val="0"/>
          <w:numId w:val="3"/>
        </w:numPr>
        <w:rPr>
          <w:rFonts w:ascii="Comic Sans MS" w:hAnsi="Comic Sans MS"/>
          <w:sz w:val="20"/>
          <w:szCs w:val="20"/>
        </w:rPr>
      </w:pPr>
      <w:r>
        <w:rPr>
          <w:rFonts w:ascii="Comic Sans MS" w:hAnsi="Comic Sans MS"/>
          <w:sz w:val="20"/>
          <w:szCs w:val="20"/>
        </w:rPr>
        <w:t>„Dreiklang“</w:t>
      </w:r>
      <w:r w:rsidR="00212730">
        <w:rPr>
          <w:rFonts w:ascii="Comic Sans MS" w:hAnsi="Comic Sans MS"/>
          <w:sz w:val="20"/>
          <w:szCs w:val="20"/>
        </w:rPr>
        <w:t>, Trias</w:t>
      </w:r>
      <w:r>
        <w:rPr>
          <w:rFonts w:ascii="Comic Sans MS" w:hAnsi="Comic Sans MS"/>
          <w:sz w:val="20"/>
          <w:szCs w:val="20"/>
        </w:rPr>
        <w:t xml:space="preserve"> (drei Wörter), der sich besonders gut einprägt: „Menschen, Tiere, Sensationen“; „Fakten, Fakten, Fakten“</w:t>
      </w:r>
    </w:p>
    <w:p w:rsidR="00CB6A1C" w:rsidRDefault="002B5053">
      <w:pPr>
        <w:pStyle w:val="Listenabsatz"/>
        <w:numPr>
          <w:ilvl w:val="0"/>
          <w:numId w:val="3"/>
        </w:numPr>
        <w:rPr>
          <w:rFonts w:ascii="Comic Sans MS" w:hAnsi="Comic Sans MS"/>
          <w:sz w:val="20"/>
          <w:szCs w:val="20"/>
        </w:rPr>
      </w:pPr>
      <w:r>
        <w:rPr>
          <w:rFonts w:ascii="Comic Sans MS" w:hAnsi="Comic Sans MS"/>
          <w:sz w:val="20"/>
          <w:szCs w:val="20"/>
        </w:rPr>
        <w:t>Anapher (Wiederholung eines oder mehrerer Wörter zu Beginn aufeinanderfolgender Sätze): „</w:t>
      </w:r>
      <w:proofErr w:type="spellStart"/>
      <w:r>
        <w:rPr>
          <w:rFonts w:ascii="Comic Sans MS" w:hAnsi="Comic Sans MS"/>
          <w:sz w:val="20"/>
          <w:szCs w:val="20"/>
        </w:rPr>
        <w:t>Always</w:t>
      </w:r>
      <w:proofErr w:type="spellEnd"/>
      <w:r>
        <w:rPr>
          <w:rFonts w:ascii="Comic Sans MS" w:hAnsi="Comic Sans MS"/>
          <w:sz w:val="20"/>
          <w:szCs w:val="20"/>
        </w:rPr>
        <w:t xml:space="preserve"> trocken. </w:t>
      </w:r>
      <w:proofErr w:type="spellStart"/>
      <w:r>
        <w:rPr>
          <w:rFonts w:ascii="Comic Sans MS" w:hAnsi="Comic Sans MS"/>
          <w:sz w:val="20"/>
          <w:szCs w:val="20"/>
        </w:rPr>
        <w:t>Always</w:t>
      </w:r>
      <w:proofErr w:type="spellEnd"/>
      <w:r>
        <w:rPr>
          <w:rFonts w:ascii="Comic Sans MS" w:hAnsi="Comic Sans MS"/>
          <w:sz w:val="20"/>
          <w:szCs w:val="20"/>
        </w:rPr>
        <w:t xml:space="preserve"> sauber.“</w:t>
      </w:r>
    </w:p>
    <w:p w:rsidR="00CB6A1C" w:rsidRDefault="002B5053">
      <w:pPr>
        <w:pStyle w:val="Listenabsatz"/>
        <w:numPr>
          <w:ilvl w:val="0"/>
          <w:numId w:val="3"/>
        </w:numPr>
        <w:rPr>
          <w:rFonts w:ascii="Comic Sans MS" w:hAnsi="Comic Sans MS"/>
          <w:sz w:val="20"/>
          <w:szCs w:val="20"/>
        </w:rPr>
      </w:pPr>
      <w:r>
        <w:rPr>
          <w:rFonts w:ascii="Comic Sans MS" w:hAnsi="Comic Sans MS"/>
          <w:sz w:val="20"/>
          <w:szCs w:val="20"/>
        </w:rPr>
        <w:t>Rhetorische Frage: „Wohnst du noch, oder lebst du schon?“</w:t>
      </w:r>
    </w:p>
    <w:p w:rsidR="00CB6A1C" w:rsidRDefault="002B5053">
      <w:pPr>
        <w:pStyle w:val="Listenabsatz"/>
        <w:numPr>
          <w:ilvl w:val="0"/>
          <w:numId w:val="3"/>
        </w:numPr>
        <w:rPr>
          <w:rFonts w:ascii="Comic Sans MS" w:hAnsi="Comic Sans MS"/>
          <w:sz w:val="20"/>
          <w:szCs w:val="20"/>
        </w:rPr>
      </w:pPr>
      <w:r>
        <w:rPr>
          <w:rFonts w:ascii="Comic Sans MS" w:hAnsi="Comic Sans MS"/>
          <w:sz w:val="20"/>
          <w:szCs w:val="20"/>
        </w:rPr>
        <w:t>Metaphern (bildhafte Übertragung): „Der Stern auf Ihrem Weg“</w:t>
      </w:r>
    </w:p>
    <w:p w:rsidR="00CB6A1C" w:rsidRDefault="002B5053">
      <w:pPr>
        <w:pStyle w:val="Listenabsatz"/>
        <w:numPr>
          <w:ilvl w:val="0"/>
          <w:numId w:val="2"/>
        </w:numPr>
      </w:pPr>
      <w:r>
        <w:rPr>
          <w:rFonts w:ascii="Comic Sans MS" w:hAnsi="Comic Sans MS"/>
          <w:sz w:val="20"/>
          <w:szCs w:val="20"/>
        </w:rPr>
        <w:t xml:space="preserve">weitere </w:t>
      </w:r>
      <w:r>
        <w:rPr>
          <w:rFonts w:ascii="Comic Sans MS" w:hAnsi="Comic Sans MS"/>
          <w:b/>
          <w:sz w:val="20"/>
          <w:szCs w:val="20"/>
        </w:rPr>
        <w:t>rhetorische Figuren</w:t>
      </w:r>
      <w:r>
        <w:rPr>
          <w:rFonts w:ascii="Comic Sans MS" w:hAnsi="Comic Sans MS"/>
          <w:sz w:val="20"/>
          <w:szCs w:val="20"/>
        </w:rPr>
        <w:t xml:space="preserve"> wie:</w:t>
      </w:r>
    </w:p>
    <w:p w:rsidR="00CB6A1C" w:rsidRDefault="002B5053">
      <w:pPr>
        <w:pStyle w:val="Listenabsatz"/>
        <w:numPr>
          <w:ilvl w:val="0"/>
          <w:numId w:val="4"/>
        </w:numPr>
        <w:rPr>
          <w:rFonts w:ascii="Comic Sans MS" w:hAnsi="Comic Sans MS"/>
          <w:sz w:val="20"/>
          <w:szCs w:val="20"/>
        </w:rPr>
      </w:pPr>
      <w:r>
        <w:rPr>
          <w:rFonts w:ascii="Comic Sans MS" w:hAnsi="Comic Sans MS"/>
          <w:sz w:val="20"/>
          <w:szCs w:val="20"/>
        </w:rPr>
        <w:t>Neologismen (Wortneuschöpfungen): „</w:t>
      </w:r>
      <w:proofErr w:type="spellStart"/>
      <w:r>
        <w:rPr>
          <w:rFonts w:ascii="Comic Sans MS" w:hAnsi="Comic Sans MS"/>
          <w:sz w:val="20"/>
          <w:szCs w:val="20"/>
        </w:rPr>
        <w:t>Unkaputtbar</w:t>
      </w:r>
      <w:proofErr w:type="spellEnd"/>
      <w:r>
        <w:rPr>
          <w:rFonts w:ascii="Comic Sans MS" w:hAnsi="Comic Sans MS"/>
          <w:sz w:val="20"/>
          <w:szCs w:val="20"/>
        </w:rPr>
        <w:t>“</w:t>
      </w:r>
    </w:p>
    <w:p w:rsidR="00CB6A1C" w:rsidRDefault="002B5053">
      <w:pPr>
        <w:pStyle w:val="Listenabsatz"/>
        <w:numPr>
          <w:ilvl w:val="0"/>
          <w:numId w:val="4"/>
        </w:numPr>
        <w:rPr>
          <w:rFonts w:ascii="Comic Sans MS" w:hAnsi="Comic Sans MS"/>
          <w:sz w:val="20"/>
          <w:szCs w:val="20"/>
        </w:rPr>
      </w:pPr>
      <w:r>
        <w:rPr>
          <w:rFonts w:ascii="Comic Sans MS" w:hAnsi="Comic Sans MS"/>
          <w:sz w:val="20"/>
          <w:szCs w:val="20"/>
        </w:rPr>
        <w:t>Wort- oder Sinnspiele: „Nicht immer, aber immer öfter“</w:t>
      </w:r>
    </w:p>
    <w:p w:rsidR="00CB6A1C" w:rsidRDefault="002B5053">
      <w:pPr>
        <w:pStyle w:val="Listenabsatz"/>
        <w:numPr>
          <w:ilvl w:val="0"/>
          <w:numId w:val="4"/>
        </w:numPr>
        <w:rPr>
          <w:rFonts w:ascii="Comic Sans MS" w:hAnsi="Comic Sans MS"/>
          <w:sz w:val="20"/>
          <w:szCs w:val="20"/>
        </w:rPr>
      </w:pPr>
      <w:r>
        <w:rPr>
          <w:rFonts w:ascii="Comic Sans MS" w:hAnsi="Comic Sans MS"/>
          <w:sz w:val="20"/>
          <w:szCs w:val="20"/>
        </w:rPr>
        <w:t>Superlativ (Steigerungsform): „</w:t>
      </w:r>
      <w:proofErr w:type="spellStart"/>
      <w:r>
        <w:rPr>
          <w:rFonts w:ascii="Comic Sans MS" w:hAnsi="Comic Sans MS"/>
          <w:sz w:val="20"/>
          <w:szCs w:val="20"/>
        </w:rPr>
        <w:t>Bigger</w:t>
      </w:r>
      <w:proofErr w:type="spellEnd"/>
      <w:r>
        <w:rPr>
          <w:rFonts w:ascii="Comic Sans MS" w:hAnsi="Comic Sans MS"/>
          <w:sz w:val="20"/>
          <w:szCs w:val="20"/>
        </w:rPr>
        <w:t xml:space="preserve">. </w:t>
      </w:r>
      <w:proofErr w:type="spellStart"/>
      <w:r>
        <w:rPr>
          <w:rFonts w:ascii="Comic Sans MS" w:hAnsi="Comic Sans MS"/>
          <w:sz w:val="20"/>
          <w:szCs w:val="20"/>
        </w:rPr>
        <w:t>Better</w:t>
      </w:r>
      <w:proofErr w:type="spellEnd"/>
      <w:r>
        <w:rPr>
          <w:rFonts w:ascii="Comic Sans MS" w:hAnsi="Comic Sans MS"/>
          <w:sz w:val="20"/>
          <w:szCs w:val="20"/>
        </w:rPr>
        <w:t>. Burger King.“</w:t>
      </w:r>
    </w:p>
    <w:p w:rsidR="00CB6A1C" w:rsidRDefault="002B5053">
      <w:pPr>
        <w:pStyle w:val="Listenabsatz"/>
        <w:numPr>
          <w:ilvl w:val="0"/>
          <w:numId w:val="4"/>
        </w:numPr>
        <w:rPr>
          <w:rFonts w:ascii="Comic Sans MS" w:hAnsi="Comic Sans MS"/>
          <w:sz w:val="20"/>
          <w:szCs w:val="20"/>
        </w:rPr>
      </w:pPr>
      <w:r>
        <w:rPr>
          <w:rFonts w:ascii="Comic Sans MS" w:hAnsi="Comic Sans MS"/>
          <w:sz w:val="20"/>
          <w:szCs w:val="20"/>
        </w:rPr>
        <w:t>Ellipse (Auslassung von Redeteilen): „Heute ein König“</w:t>
      </w:r>
    </w:p>
    <w:p w:rsidR="00CB6A1C" w:rsidRDefault="002B5053">
      <w:pPr>
        <w:pStyle w:val="Listenabsatz"/>
        <w:numPr>
          <w:ilvl w:val="0"/>
          <w:numId w:val="4"/>
        </w:numPr>
        <w:rPr>
          <w:rFonts w:ascii="Comic Sans MS" w:hAnsi="Comic Sans MS"/>
          <w:sz w:val="20"/>
          <w:szCs w:val="20"/>
        </w:rPr>
      </w:pPr>
      <w:r>
        <w:rPr>
          <w:rFonts w:ascii="Comic Sans MS" w:hAnsi="Comic Sans MS"/>
          <w:sz w:val="20"/>
          <w:szCs w:val="20"/>
        </w:rPr>
        <w:t>Paradoxon (scheinbarer Widerspruch): „weniger ist mehr“</w:t>
      </w:r>
    </w:p>
    <w:p w:rsidR="00CB6A1C" w:rsidRDefault="002B5053">
      <w:pPr>
        <w:pStyle w:val="Listenabsatz"/>
        <w:numPr>
          <w:ilvl w:val="0"/>
          <w:numId w:val="2"/>
        </w:numPr>
      </w:pPr>
      <w:r>
        <w:rPr>
          <w:rFonts w:ascii="Comic Sans MS" w:hAnsi="Comic Sans MS"/>
          <w:sz w:val="20"/>
          <w:szCs w:val="20"/>
        </w:rPr>
        <w:t xml:space="preserve">Kombination mit </w:t>
      </w:r>
      <w:r>
        <w:rPr>
          <w:rFonts w:ascii="Comic Sans MS" w:hAnsi="Comic Sans MS"/>
          <w:b/>
          <w:sz w:val="20"/>
          <w:szCs w:val="20"/>
        </w:rPr>
        <w:t>optischen und akustischen Reizen</w:t>
      </w:r>
      <w:r>
        <w:rPr>
          <w:rFonts w:ascii="Comic Sans MS" w:hAnsi="Comic Sans MS"/>
          <w:sz w:val="20"/>
          <w:szCs w:val="20"/>
        </w:rPr>
        <w:t xml:space="preserve"> wie:</w:t>
      </w:r>
    </w:p>
    <w:p w:rsidR="00CB6A1C" w:rsidRDefault="002B5053">
      <w:pPr>
        <w:pStyle w:val="Listenabsatz"/>
        <w:numPr>
          <w:ilvl w:val="0"/>
          <w:numId w:val="5"/>
        </w:numPr>
        <w:rPr>
          <w:rFonts w:ascii="Comic Sans MS" w:hAnsi="Comic Sans MS"/>
          <w:sz w:val="20"/>
          <w:szCs w:val="20"/>
        </w:rPr>
      </w:pPr>
      <w:r>
        <w:rPr>
          <w:rFonts w:ascii="Comic Sans MS" w:hAnsi="Comic Sans MS"/>
          <w:sz w:val="20"/>
          <w:szCs w:val="20"/>
        </w:rPr>
        <w:t>Bilder</w:t>
      </w:r>
    </w:p>
    <w:p w:rsidR="00CB6A1C" w:rsidRDefault="002B5053">
      <w:pPr>
        <w:pStyle w:val="Listenabsatz"/>
        <w:numPr>
          <w:ilvl w:val="0"/>
          <w:numId w:val="5"/>
        </w:numPr>
      </w:pPr>
      <w:r>
        <w:rPr>
          <w:rFonts w:ascii="Comic Sans MS" w:hAnsi="Comic Sans MS"/>
          <w:sz w:val="20"/>
          <w:szCs w:val="20"/>
        </w:rPr>
        <w:t>Jingles</w:t>
      </w:r>
      <w:r>
        <w:rPr>
          <w:rStyle w:val="Funotenzeichen"/>
          <w:rFonts w:ascii="Comic Sans MS" w:hAnsi="Comic Sans MS"/>
          <w:sz w:val="20"/>
          <w:szCs w:val="20"/>
        </w:rPr>
        <w:footnoteReference w:id="4"/>
      </w:r>
    </w:p>
    <w:p w:rsidR="00CB6A1C" w:rsidRDefault="002B5053">
      <w:pPr>
        <w:pStyle w:val="Listenabsatz"/>
        <w:numPr>
          <w:ilvl w:val="0"/>
          <w:numId w:val="5"/>
        </w:numPr>
      </w:pPr>
      <w:r>
        <w:rPr>
          <w:rFonts w:ascii="Comic Sans MS" w:hAnsi="Comic Sans MS"/>
          <w:sz w:val="20"/>
          <w:szCs w:val="20"/>
        </w:rPr>
        <w:t>audiovisuelle</w:t>
      </w:r>
      <w:r>
        <w:rPr>
          <w:rStyle w:val="Funotenzeichen"/>
          <w:rFonts w:ascii="Comic Sans MS" w:hAnsi="Comic Sans MS"/>
          <w:sz w:val="20"/>
          <w:szCs w:val="20"/>
        </w:rPr>
        <w:footnoteReference w:id="5"/>
      </w:r>
      <w:r>
        <w:rPr>
          <w:rFonts w:ascii="Comic Sans MS" w:hAnsi="Comic Sans MS"/>
          <w:sz w:val="20"/>
          <w:szCs w:val="20"/>
        </w:rPr>
        <w:t xml:space="preserve"> Sequenzen</w:t>
      </w:r>
    </w:p>
    <w:p w:rsidR="00CB6A1C" w:rsidRDefault="00CB6A1C">
      <w:pPr>
        <w:rPr>
          <w:rFonts w:ascii="Comic Sans MS" w:hAnsi="Comic Sans MS"/>
          <w:sz w:val="20"/>
          <w:szCs w:val="20"/>
        </w:rPr>
      </w:pPr>
    </w:p>
    <w:p w:rsidR="00CB6A1C" w:rsidRDefault="002B5053">
      <w:r>
        <w:rPr>
          <w:rFonts w:ascii="Comic Sans MS" w:hAnsi="Comic Sans MS"/>
          <w:sz w:val="18"/>
          <w:szCs w:val="18"/>
        </w:rPr>
        <w:t xml:space="preserve">(Quelle: aus Wikipedia, der freien Enzyklopädie - </w:t>
      </w:r>
      <w:hyperlink r:id="rId8" w:history="1">
        <w:r>
          <w:rPr>
            <w:rStyle w:val="Hyperlink"/>
            <w:rFonts w:ascii="Comic Sans MS" w:hAnsi="Comic Sans MS"/>
            <w:sz w:val="18"/>
            <w:szCs w:val="18"/>
          </w:rPr>
          <w:t>http://creativecommons.org/licenses/by-sa/3.0/deed.de</w:t>
        </w:r>
      </w:hyperlink>
      <w:r>
        <w:rPr>
          <w:rFonts w:ascii="Comic Sans MS" w:hAnsi="Comic Sans MS"/>
          <w:sz w:val="18"/>
          <w:szCs w:val="18"/>
        </w:rPr>
        <w:t xml:space="preserve"> )</w:t>
      </w:r>
    </w:p>
    <w:sectPr w:rsidR="00CB6A1C">
      <w:pgSz w:w="11905" w:h="16837"/>
      <w:pgMar w:top="851"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50" w:rsidRDefault="00D71F50">
      <w:r>
        <w:separator/>
      </w:r>
    </w:p>
  </w:endnote>
  <w:endnote w:type="continuationSeparator" w:id="0">
    <w:p w:rsidR="00D71F50" w:rsidRDefault="00D7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50" w:rsidRDefault="00D71F50">
      <w:r>
        <w:rPr>
          <w:color w:val="000000"/>
        </w:rPr>
        <w:separator/>
      </w:r>
    </w:p>
  </w:footnote>
  <w:footnote w:type="continuationSeparator" w:id="0">
    <w:p w:rsidR="00D71F50" w:rsidRDefault="00D71F50">
      <w:r>
        <w:continuationSeparator/>
      </w:r>
    </w:p>
  </w:footnote>
  <w:footnote w:id="1">
    <w:p w:rsidR="00CB6A1C" w:rsidRDefault="002B5053">
      <w:pPr>
        <w:pStyle w:val="Funotentext"/>
      </w:pPr>
      <w:r>
        <w:rPr>
          <w:rStyle w:val="Funotenzeichen"/>
        </w:rPr>
        <w:footnoteRef/>
      </w:r>
      <w:r>
        <w:t xml:space="preserve"> Clan = schottischer Stammesverband</w:t>
      </w:r>
    </w:p>
  </w:footnote>
  <w:footnote w:id="2">
    <w:p w:rsidR="00CB6A1C" w:rsidRDefault="002B5053">
      <w:pPr>
        <w:pStyle w:val="Funotentext"/>
      </w:pPr>
      <w:r>
        <w:rPr>
          <w:rStyle w:val="Funotenzeichen"/>
        </w:rPr>
        <w:footnoteRef/>
      </w:r>
      <w:r>
        <w:t xml:space="preserve"> prägnant = etwas in knapper  Form, genau und treffend darstellen</w:t>
      </w:r>
    </w:p>
  </w:footnote>
  <w:footnote w:id="3">
    <w:p w:rsidR="00CB6A1C" w:rsidRDefault="002B5053">
      <w:pPr>
        <w:pStyle w:val="Funotentext"/>
      </w:pPr>
      <w:r>
        <w:rPr>
          <w:rStyle w:val="Funotenzeichen"/>
        </w:rPr>
        <w:footnoteRef/>
      </w:r>
      <w:r>
        <w:t xml:space="preserve"> Rhetorik = Lehre von der wirkungsvollen Gestaltung öffentlicher Reden</w:t>
      </w:r>
    </w:p>
  </w:footnote>
  <w:footnote w:id="4">
    <w:p w:rsidR="00CB6A1C" w:rsidRDefault="002B5053">
      <w:pPr>
        <w:pStyle w:val="Funotentext"/>
      </w:pPr>
      <w:r>
        <w:rPr>
          <w:rStyle w:val="Funotenzeichen"/>
        </w:rPr>
        <w:footnoteRef/>
      </w:r>
      <w:r>
        <w:t xml:space="preserve"> Jingle = kurze, einprägsame Melodie oder Tonfolge</w:t>
      </w:r>
    </w:p>
  </w:footnote>
  <w:footnote w:id="5">
    <w:p w:rsidR="00CB6A1C" w:rsidRDefault="002B5053">
      <w:pPr>
        <w:pStyle w:val="Funotentext"/>
      </w:pPr>
      <w:r>
        <w:rPr>
          <w:rStyle w:val="Funotenzeichen"/>
        </w:rPr>
        <w:footnoteRef/>
      </w:r>
      <w:r>
        <w:t xml:space="preserve"> Audiovisuell = zugleich hör</w:t>
      </w:r>
      <w:bookmarkStart w:id="0" w:name="_GoBack"/>
      <w:bookmarkEnd w:id="0"/>
      <w:r>
        <w:t>- und sichtbar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171"/>
    <w:multiLevelType w:val="multilevel"/>
    <w:tmpl w:val="BEDA2E3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D642E2E"/>
    <w:multiLevelType w:val="multilevel"/>
    <w:tmpl w:val="CD70EE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57F10A2A"/>
    <w:multiLevelType w:val="multilevel"/>
    <w:tmpl w:val="299C96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5C795FC8"/>
    <w:multiLevelType w:val="multilevel"/>
    <w:tmpl w:val="8D3837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6656496F"/>
    <w:multiLevelType w:val="multilevel"/>
    <w:tmpl w:val="B92E9EC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B6A1C"/>
    <w:rsid w:val="00212730"/>
    <w:rsid w:val="002B5053"/>
    <w:rsid w:val="00324D52"/>
    <w:rsid w:val="00CB6A1C"/>
    <w:rsid w:val="00D71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Absatz-Standardschriftart"/>
    <w:rPr>
      <w:color w:val="0000FF"/>
      <w:u w:val="single"/>
    </w:rPr>
  </w:style>
  <w:style w:type="paragraph" w:styleId="Funotentext">
    <w:name w:val="footnote text"/>
    <w:basedOn w:val="Standard"/>
    <w:rPr>
      <w:sz w:val="20"/>
      <w:szCs w:val="20"/>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style>
  <w:style w:type="paragraph" w:styleId="Listenabsatz">
    <w:name w:val="List Paragraph"/>
    <w:basedOn w:val="Standar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yperlink">
    <w:name w:val="Hyperlink"/>
    <w:basedOn w:val="Absatz-Standardschriftart"/>
    <w:rPr>
      <w:color w:val="0000FF"/>
      <w:u w:val="single"/>
    </w:rPr>
  </w:style>
  <w:style w:type="paragraph" w:styleId="Funotentext">
    <w:name w:val="footnote text"/>
    <w:basedOn w:val="Standard"/>
    <w:rPr>
      <w:sz w:val="20"/>
      <w:szCs w:val="20"/>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style>
  <w:style w:type="paragraph" w:styleId="Listenabsatz">
    <w:name w:val="List Paragraph"/>
    <w:basedOn w:val="Standar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3.0/deed.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4</cp:revision>
  <cp:lastPrinted>2013-04-04T16:06:00Z</cp:lastPrinted>
  <dcterms:created xsi:type="dcterms:W3CDTF">2013-04-05T12:13:00Z</dcterms:created>
  <dcterms:modified xsi:type="dcterms:W3CDTF">2013-04-10T09:44:00Z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