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670"/>
        <w:gridCol w:w="1872"/>
      </w:tblGrid>
      <w:tr w:rsidR="00F36442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442" w:rsidRDefault="00D266D8"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Klasse: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442" w:rsidRDefault="00D266D8"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442" w:rsidRDefault="00D266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F36442" w:rsidRDefault="00F36442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F36442" w:rsidRDefault="00F36442">
      <w:pPr>
        <w:rPr>
          <w:rFonts w:ascii="Comic Sans MS" w:hAnsi="Comic Sans MS"/>
        </w:rPr>
      </w:pPr>
    </w:p>
    <w:p w:rsidR="00F36442" w:rsidRDefault="00D266D8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AIDA-Modell</w:t>
      </w:r>
    </w:p>
    <w:p w:rsidR="00F36442" w:rsidRDefault="00F36442">
      <w:pPr>
        <w:rPr>
          <w:rFonts w:ascii="Comic Sans MS" w:hAnsi="Comic Sans MS"/>
        </w:rPr>
      </w:pPr>
    </w:p>
    <w:p w:rsidR="00F36442" w:rsidRDefault="00D266D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Das AIDA-Modell wird auf Elmo Lewis zurückgeführt, der es bereits 1898 in einem Verkäufermarkt beschrieben hat. </w:t>
      </w:r>
    </w:p>
    <w:p w:rsidR="00F36442" w:rsidRDefault="00D266D8">
      <w:r>
        <w:rPr>
          <w:rFonts w:ascii="Comic Sans MS" w:hAnsi="Comic Sans MS"/>
          <w:sz w:val="20"/>
          <w:szCs w:val="20"/>
        </w:rPr>
        <w:t>AIDA ist ein Akronym</w:t>
      </w:r>
      <w:r>
        <w:rPr>
          <w:rStyle w:val="Funotenzeichen"/>
          <w:rFonts w:ascii="Comic Sans MS" w:hAnsi="Comic Sans MS"/>
          <w:sz w:val="20"/>
          <w:szCs w:val="20"/>
        </w:rPr>
        <w:footnoteReference w:id="1"/>
      </w:r>
      <w:r>
        <w:rPr>
          <w:rFonts w:ascii="Comic Sans MS" w:hAnsi="Comic Sans MS"/>
          <w:sz w:val="20"/>
          <w:szCs w:val="20"/>
        </w:rPr>
        <w:t xml:space="preserve"> für ein Werbewirkungs-Prinzip. Es steht für die englischen Begriffe </w:t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sz w:val="20"/>
          <w:szCs w:val="20"/>
        </w:rPr>
        <w:t xml:space="preserve">ttention (Aufmerksamkeit), </w:t>
      </w:r>
      <w:r>
        <w:rPr>
          <w:rFonts w:ascii="Comic Sans MS" w:hAnsi="Comic Sans MS"/>
          <w:b/>
        </w:rPr>
        <w:t>I</w:t>
      </w:r>
      <w:r>
        <w:rPr>
          <w:rFonts w:ascii="Comic Sans MS" w:hAnsi="Comic Sans MS"/>
          <w:sz w:val="20"/>
          <w:szCs w:val="20"/>
        </w:rPr>
        <w:t>nte</w:t>
      </w:r>
      <w:r>
        <w:rPr>
          <w:rFonts w:ascii="Comic Sans MS" w:hAnsi="Comic Sans MS"/>
          <w:sz w:val="20"/>
          <w:szCs w:val="20"/>
        </w:rPr>
        <w:t xml:space="preserve">rest (Interesse), </w:t>
      </w:r>
      <w:proofErr w:type="spellStart"/>
      <w:r>
        <w:rPr>
          <w:rFonts w:ascii="Comic Sans MS" w:hAnsi="Comic Sans MS"/>
          <w:b/>
        </w:rPr>
        <w:t>D</w:t>
      </w:r>
      <w:r>
        <w:rPr>
          <w:rFonts w:ascii="Comic Sans MS" w:hAnsi="Comic Sans MS"/>
          <w:sz w:val="20"/>
          <w:szCs w:val="20"/>
        </w:rPr>
        <w:t>esire</w:t>
      </w:r>
      <w:proofErr w:type="spellEnd"/>
      <w:r>
        <w:rPr>
          <w:rFonts w:ascii="Comic Sans MS" w:hAnsi="Comic Sans MS"/>
          <w:sz w:val="20"/>
          <w:szCs w:val="20"/>
        </w:rPr>
        <w:t xml:space="preserve"> (Wunsch) und </w:t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sz w:val="20"/>
          <w:szCs w:val="20"/>
        </w:rPr>
        <w:t>ction (Tätigkeit).</w:t>
      </w:r>
    </w:p>
    <w:p w:rsidR="00F36442" w:rsidRDefault="00F36442">
      <w:pPr>
        <w:rPr>
          <w:rFonts w:ascii="Comic Sans MS" w:hAnsi="Comic Sans MS"/>
          <w:sz w:val="20"/>
          <w:szCs w:val="20"/>
        </w:rPr>
      </w:pPr>
    </w:p>
    <w:p w:rsidR="00F36442" w:rsidRDefault="00D266D8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Der Begriff</w:t>
      </w:r>
    </w:p>
    <w:p w:rsidR="00F36442" w:rsidRDefault="00D266D8">
      <w:r>
        <w:rPr>
          <w:rFonts w:ascii="Comic Sans MS" w:hAnsi="Comic Sans MS"/>
          <w:sz w:val="20"/>
          <w:szCs w:val="20"/>
        </w:rPr>
        <w:t xml:space="preserve">Das Stufenmodell enthält vier Phasen, welche der Kunde durchlaufen soll und die letztlich zu dessen Kaufentscheidung führen sollen. Die vier Phasen werden als gleich wichtig angesehen, </w:t>
      </w:r>
      <w:r>
        <w:rPr>
          <w:rFonts w:ascii="Comic Sans MS" w:hAnsi="Comic Sans MS"/>
          <w:sz w:val="20"/>
          <w:szCs w:val="20"/>
        </w:rPr>
        <w:t xml:space="preserve">können sich allerdings überschneiden. </w:t>
      </w:r>
      <w:r>
        <w:rPr>
          <w:rFonts w:ascii="Comic Sans MS" w:hAnsi="Comic Sans MS"/>
          <w:b/>
          <w:sz w:val="20"/>
          <w:szCs w:val="20"/>
        </w:rPr>
        <w:t>AIDA</w:t>
      </w:r>
      <w:r>
        <w:rPr>
          <w:rFonts w:ascii="Comic Sans MS" w:hAnsi="Comic Sans MS"/>
          <w:sz w:val="20"/>
          <w:szCs w:val="20"/>
        </w:rPr>
        <w:t xml:space="preserve"> entspricht den Anfangsbuchstaben der einzelnen Phasen:</w:t>
      </w:r>
    </w:p>
    <w:p w:rsidR="00F36442" w:rsidRDefault="00D266D8">
      <w:r>
        <w:rPr>
          <w:rFonts w:ascii="Comic Sans MS" w:hAnsi="Comic Sans MS"/>
          <w:b/>
          <w:sz w:val="20"/>
          <w:szCs w:val="20"/>
        </w:rPr>
        <w:t>Attention</w:t>
      </w:r>
      <w:r>
        <w:rPr>
          <w:rFonts w:ascii="Comic Sans MS" w:hAnsi="Comic Sans MS"/>
          <w:sz w:val="20"/>
          <w:szCs w:val="20"/>
        </w:rPr>
        <w:t xml:space="preserve">  -  Die Aufmerksamkeit des Kunden wird angeregt. Das kann durch Bildmaterial, eine interessante Schlagzeile oder einen einprägsamen Slogan</w:t>
      </w:r>
      <w:r>
        <w:rPr>
          <w:rStyle w:val="Funotenzeichen"/>
          <w:rFonts w:ascii="Comic Sans MS" w:hAnsi="Comic Sans MS"/>
          <w:sz w:val="20"/>
          <w:szCs w:val="20"/>
        </w:rPr>
        <w:footnoteReference w:id="2"/>
      </w:r>
      <w:r>
        <w:rPr>
          <w:rFonts w:ascii="Comic Sans MS" w:hAnsi="Comic Sans MS"/>
          <w:sz w:val="20"/>
          <w:szCs w:val="20"/>
        </w:rPr>
        <w:t xml:space="preserve"> geschehen. </w:t>
      </w:r>
    </w:p>
    <w:p w:rsidR="00F36442" w:rsidRDefault="00D266D8">
      <w:r>
        <w:rPr>
          <w:rFonts w:ascii="Comic Sans MS" w:hAnsi="Comic Sans MS"/>
          <w:b/>
          <w:sz w:val="20"/>
          <w:szCs w:val="20"/>
        </w:rPr>
        <w:t xml:space="preserve">Interest </w:t>
      </w:r>
      <w:r>
        <w:rPr>
          <w:rFonts w:ascii="Comic Sans MS" w:hAnsi="Comic Sans MS"/>
          <w:sz w:val="20"/>
          <w:szCs w:val="20"/>
        </w:rPr>
        <w:t xml:space="preserve"> -  Er interessiert sich für das Produkt. Das Interesse des Kunden wird geweckt, weil er sich direkt angesprochen fühlt oder neugierig </w:t>
      </w:r>
      <w:r>
        <w:rPr>
          <w:rFonts w:ascii="Comic Sans MS" w:hAnsi="Comic Sans MS"/>
          <w:sz w:val="20"/>
          <w:szCs w:val="20"/>
        </w:rPr>
        <w:t>wird.</w:t>
      </w:r>
    </w:p>
    <w:p w:rsidR="00F36442" w:rsidRDefault="00D266D8">
      <w:proofErr w:type="spellStart"/>
      <w:r>
        <w:rPr>
          <w:rFonts w:ascii="Comic Sans MS" w:hAnsi="Comic Sans MS"/>
          <w:b/>
          <w:sz w:val="20"/>
          <w:szCs w:val="20"/>
        </w:rPr>
        <w:t>Desire</w:t>
      </w:r>
      <w:proofErr w:type="spellEnd"/>
      <w:r>
        <w:rPr>
          <w:rFonts w:ascii="Comic Sans MS" w:hAnsi="Comic Sans MS"/>
          <w:sz w:val="20"/>
          <w:szCs w:val="20"/>
        </w:rPr>
        <w:t xml:space="preserve">  -  Der Wunsch nach dem Produkt wird geweckt. Es werden Bedürfnisse suggeriert</w:t>
      </w:r>
      <w:r>
        <w:rPr>
          <w:rStyle w:val="Funotenzeichen"/>
          <w:rFonts w:ascii="Comic Sans MS" w:hAnsi="Comic Sans MS"/>
          <w:sz w:val="20"/>
          <w:szCs w:val="20"/>
        </w:rPr>
        <w:footnoteReference w:id="3"/>
      </w:r>
      <w:r>
        <w:rPr>
          <w:rFonts w:ascii="Comic Sans MS" w:hAnsi="Comic Sans MS"/>
          <w:sz w:val="20"/>
          <w:szCs w:val="20"/>
        </w:rPr>
        <w:t xml:space="preserve"> oder Problemlösungen angeboten. Der Besitzwunsch wird ausgelöst.</w:t>
      </w:r>
    </w:p>
    <w:p w:rsidR="00F36442" w:rsidRDefault="00D266D8">
      <w:r>
        <w:rPr>
          <w:rFonts w:ascii="Comic Sans MS" w:hAnsi="Comic Sans MS"/>
          <w:b/>
          <w:sz w:val="20"/>
          <w:szCs w:val="20"/>
        </w:rPr>
        <w:t>Action</w:t>
      </w:r>
      <w:r>
        <w:rPr>
          <w:rFonts w:ascii="Comic Sans MS" w:hAnsi="Comic Sans MS"/>
          <w:sz w:val="20"/>
          <w:szCs w:val="20"/>
        </w:rPr>
        <w:t xml:space="preserve">  -  Dem Kunden wird die Kaufentscheid</w:t>
      </w:r>
      <w:r>
        <w:rPr>
          <w:rFonts w:ascii="Comic Sans MS" w:hAnsi="Comic Sans MS"/>
          <w:sz w:val="20"/>
          <w:szCs w:val="20"/>
        </w:rPr>
        <w:t>ung erleichtert, indem z.B. eine Bestelladresse genannt wird. Der Kunde kauft das Produkt oder handelt in der von der Werbung beabsichtigten Weise.</w:t>
      </w:r>
    </w:p>
    <w:p w:rsidR="00F36442" w:rsidRDefault="00F36442">
      <w:pPr>
        <w:rPr>
          <w:rFonts w:ascii="Comic Sans MS" w:hAnsi="Comic Sans MS"/>
          <w:sz w:val="20"/>
          <w:szCs w:val="20"/>
        </w:rPr>
      </w:pPr>
    </w:p>
    <w:p w:rsidR="00F36442" w:rsidRDefault="00D266D8">
      <w:r>
        <w:rPr>
          <w:rFonts w:ascii="Comic Sans MS" w:hAnsi="Comic Sans MS"/>
          <w:u w:val="single"/>
        </w:rPr>
        <w:t>Einsatzbereiche</w:t>
      </w:r>
    </w:p>
    <w:p w:rsidR="00F36442" w:rsidRDefault="00D266D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Das AIDA-Modell wird noch heute in Werbestrategien, Werbungsaktivitäten und Verkaufsgespräc</w:t>
      </w:r>
      <w:r>
        <w:rPr>
          <w:rFonts w:ascii="Comic Sans MS" w:hAnsi="Comic Sans MS"/>
          <w:sz w:val="20"/>
          <w:szCs w:val="20"/>
        </w:rPr>
        <w:t>hen angewandt. Es wird ebenfalls im Bereich der Präsentation und Moderation eingesetzt.</w:t>
      </w:r>
    </w:p>
    <w:p w:rsidR="00F36442" w:rsidRDefault="00F36442">
      <w:pPr>
        <w:rPr>
          <w:rFonts w:ascii="Comic Sans MS" w:hAnsi="Comic Sans MS"/>
          <w:sz w:val="20"/>
          <w:szCs w:val="20"/>
        </w:rPr>
      </w:pPr>
    </w:p>
    <w:p w:rsidR="00F36442" w:rsidRDefault="00D266D8">
      <w:r>
        <w:rPr>
          <w:rFonts w:ascii="Comic Sans MS" w:hAnsi="Comic Sans MS"/>
          <w:u w:val="single"/>
        </w:rPr>
        <w:t>Kritik</w:t>
      </w:r>
    </w:p>
    <w:p w:rsidR="00F36442" w:rsidRDefault="00D266D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Das Modell wird von manchen als Stufenmodell interpretiert und dann dafür kritisiert, nicht genügend individuelle Kundenorientierung zu bieten. In der modernen </w:t>
      </w:r>
      <w:r>
        <w:rPr>
          <w:rFonts w:ascii="Comic Sans MS" w:hAnsi="Comic Sans MS"/>
          <w:sz w:val="20"/>
          <w:szCs w:val="20"/>
        </w:rPr>
        <w:t>Verkaufspsychologie wird mehr auf Dialog und auf persönliche Kundenbindung gesetzt.</w:t>
      </w:r>
    </w:p>
    <w:p w:rsidR="00F36442" w:rsidRDefault="00D266D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 AIDA-Regel beruht möglicherweise auf der Fehlannahme eines zu einfachen Reiz-Reaktions-Modells, das davon ausgeht, ein bestimmter Reiz löse eine bestimmte Reaktion aus.</w:t>
      </w:r>
      <w:r>
        <w:rPr>
          <w:rFonts w:ascii="Comic Sans MS" w:hAnsi="Comic Sans MS"/>
          <w:sz w:val="20"/>
          <w:szCs w:val="20"/>
        </w:rPr>
        <w:t xml:space="preserve"> Dabei hat die Gehirnforschung inzwischen mehrfach nachgewiesen, auf welch vielschichtigen Reiz-Reaktionsmustern das menschliche Verhalten basiert.</w:t>
      </w:r>
    </w:p>
    <w:p w:rsidR="00F36442" w:rsidRDefault="00F36442">
      <w:pPr>
        <w:rPr>
          <w:rFonts w:ascii="Comic Sans MS" w:hAnsi="Comic Sans MS"/>
        </w:rPr>
      </w:pPr>
    </w:p>
    <w:p w:rsidR="00F36442" w:rsidRDefault="00D266D8">
      <w:r>
        <w:rPr>
          <w:rFonts w:ascii="Comic Sans MS" w:hAnsi="Comic Sans MS"/>
          <w:sz w:val="18"/>
          <w:szCs w:val="18"/>
        </w:rPr>
        <w:t xml:space="preserve">(Quelle: aus Wikipedia, der freien Enzyklopädie( </w:t>
      </w:r>
      <w:hyperlink r:id="rId7" w:history="1">
        <w:r>
          <w:rPr>
            <w:rStyle w:val="Hyperlink"/>
            <w:rFonts w:ascii="Comic Sans MS" w:hAnsi="Comic Sans MS"/>
            <w:sz w:val="18"/>
            <w:szCs w:val="18"/>
          </w:rPr>
          <w:t>http://creativecommons.org/licenses/by-sa/3.0/deed.de</w:t>
        </w:r>
      </w:hyperlink>
      <w:r>
        <w:rPr>
          <w:rFonts w:ascii="Comic Sans MS" w:hAnsi="Comic Sans MS"/>
          <w:sz w:val="18"/>
          <w:szCs w:val="18"/>
        </w:rPr>
        <w:t xml:space="preserve"> )</w:t>
      </w:r>
    </w:p>
    <w:sectPr w:rsidR="00F36442">
      <w:pgSz w:w="11905" w:h="16837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D8" w:rsidRDefault="00D266D8">
      <w:r>
        <w:separator/>
      </w:r>
    </w:p>
  </w:endnote>
  <w:endnote w:type="continuationSeparator" w:id="0">
    <w:p w:rsidR="00D266D8" w:rsidRDefault="00D2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D8" w:rsidRDefault="00D266D8">
      <w:r>
        <w:rPr>
          <w:color w:val="000000"/>
        </w:rPr>
        <w:separator/>
      </w:r>
    </w:p>
  </w:footnote>
  <w:footnote w:type="continuationSeparator" w:id="0">
    <w:p w:rsidR="00D266D8" w:rsidRDefault="00D266D8">
      <w:r>
        <w:continuationSeparator/>
      </w:r>
    </w:p>
  </w:footnote>
  <w:footnote w:id="1">
    <w:p w:rsidR="00F36442" w:rsidRDefault="00D266D8">
      <w:pPr>
        <w:pStyle w:val="Funotentext"/>
      </w:pPr>
      <w:r>
        <w:rPr>
          <w:rStyle w:val="Funotenzeichen"/>
        </w:rPr>
        <w:footnoteRef/>
      </w:r>
      <w:r>
        <w:t xml:space="preserve"> Ein </w:t>
      </w:r>
      <w:r>
        <w:t>Akronym (auch Initialwort) ist ein Sonderfall der Abkürzung. Es besteht aus den Anfangsbuchstaben mehrerer Wörter: z.B. KHS, BFH, WM, TÜV, ADAC, AIDS, usw.</w:t>
      </w:r>
    </w:p>
  </w:footnote>
  <w:footnote w:id="2">
    <w:p w:rsidR="00F36442" w:rsidRDefault="00D266D8">
      <w:pPr>
        <w:pStyle w:val="Funotentext"/>
      </w:pPr>
      <w:r>
        <w:rPr>
          <w:rStyle w:val="Funotenzeichen"/>
        </w:rPr>
        <w:footnoteRef/>
      </w:r>
      <w:r>
        <w:t xml:space="preserve"> Slogan</w:t>
      </w:r>
      <w:r>
        <w:t xml:space="preserve"> = Einprägsamer Wahlspruch, z.B.: „Yes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>!“, „Geiz ist geil!“, „Atomkraft? Nein, danke!“,  usw.</w:t>
      </w:r>
    </w:p>
  </w:footnote>
  <w:footnote w:id="3">
    <w:p w:rsidR="00F36442" w:rsidRDefault="00D266D8">
      <w:pPr>
        <w:pStyle w:val="Funotentext"/>
      </w:pPr>
      <w:r>
        <w:rPr>
          <w:rStyle w:val="Funotenzeichen"/>
        </w:rPr>
        <w:footnoteRef/>
      </w:r>
      <w:r>
        <w:t xml:space="preserve"> Suggerieren = einreden, beeinflussen, unterschieben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6442"/>
    <w:rsid w:val="002C1A8D"/>
    <w:rsid w:val="00D266D8"/>
    <w:rsid w:val="00F3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sa/3.0/deed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cp:lastPrinted>2013-04-03T18:09:00Z</cp:lastPrinted>
  <dcterms:created xsi:type="dcterms:W3CDTF">2013-04-05T16:36:00Z</dcterms:created>
  <dcterms:modified xsi:type="dcterms:W3CDTF">2013-04-05T16:36:00Z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