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FC4" w:rsidRDefault="00755FC4" w:rsidP="00755FC4">
      <w:pPr>
        <w:spacing w:after="0" w:line="240" w:lineRule="auto"/>
        <w:jc w:val="center"/>
      </w:pPr>
    </w:p>
    <w:p w:rsidR="008E715B" w:rsidRDefault="008E715B" w:rsidP="00755FC4">
      <w:pPr>
        <w:spacing w:after="0" w:line="240" w:lineRule="auto"/>
        <w:jc w:val="center"/>
        <w:rPr>
          <w:sz w:val="36"/>
          <w:szCs w:val="36"/>
        </w:rPr>
      </w:pPr>
      <w:r w:rsidRPr="000B33CD">
        <w:rPr>
          <w:sz w:val="36"/>
          <w:szCs w:val="36"/>
        </w:rPr>
        <w:t>Biographische</w:t>
      </w:r>
      <w:r w:rsidR="00656691">
        <w:rPr>
          <w:sz w:val="36"/>
          <w:szCs w:val="36"/>
        </w:rPr>
        <w:t xml:space="preserve"> </w:t>
      </w:r>
      <w:r w:rsidRPr="000B33CD">
        <w:rPr>
          <w:sz w:val="36"/>
          <w:szCs w:val="36"/>
        </w:rPr>
        <w:t>Informationen</w:t>
      </w:r>
      <w:r w:rsidR="000E73C4">
        <w:rPr>
          <w:sz w:val="36"/>
          <w:szCs w:val="36"/>
        </w:rPr>
        <w:t xml:space="preserve"> – </w:t>
      </w:r>
      <w:r w:rsidR="00755FC4">
        <w:rPr>
          <w:sz w:val="36"/>
          <w:szCs w:val="36"/>
        </w:rPr>
        <w:t xml:space="preserve">Erarbeitung </w:t>
      </w:r>
      <w:r w:rsidR="00D027B3">
        <w:rPr>
          <w:sz w:val="36"/>
          <w:szCs w:val="36"/>
        </w:rPr>
        <w:t>zentraler</w:t>
      </w:r>
      <w:r w:rsidR="009E54CA">
        <w:rPr>
          <w:sz w:val="36"/>
          <w:szCs w:val="36"/>
        </w:rPr>
        <w:t xml:space="preserve"> </w:t>
      </w:r>
      <w:r w:rsidR="00927F52">
        <w:rPr>
          <w:sz w:val="36"/>
          <w:szCs w:val="36"/>
        </w:rPr>
        <w:t>Aspekte</w:t>
      </w:r>
      <w:r w:rsidR="000E73C4">
        <w:rPr>
          <w:sz w:val="36"/>
          <w:szCs w:val="36"/>
        </w:rPr>
        <w:t xml:space="preserve"> im Rahmen eines Lernzirkels</w:t>
      </w:r>
    </w:p>
    <w:p w:rsidR="008E715B" w:rsidRPr="003D0C1C" w:rsidRDefault="000E73C4" w:rsidP="000E73C4">
      <w:pPr>
        <w:rPr>
          <w:rFonts w:ascii="Calibri" w:hAnsi="Calibri"/>
          <w:b/>
          <w:sz w:val="24"/>
          <w:szCs w:val="24"/>
        </w:rPr>
      </w:pPr>
      <w:r w:rsidRPr="003D0C1C">
        <w:rPr>
          <w:rFonts w:ascii="Calibri" w:hAnsi="Calibri"/>
          <w:b/>
          <w:sz w:val="24"/>
          <w:szCs w:val="24"/>
        </w:rPr>
        <w:t xml:space="preserve">Hinweise zur Durchführung </w:t>
      </w:r>
    </w:p>
    <w:p w:rsidR="00B87CFC" w:rsidRPr="003D0C1C" w:rsidRDefault="000E73C4" w:rsidP="000E73C4">
      <w:pPr>
        <w:spacing w:after="0" w:line="300" w:lineRule="atLeast"/>
      </w:pPr>
      <w:r w:rsidRPr="003D0C1C">
        <w:t xml:space="preserve">Um den Autor E. T. A. Hoffmann näher kennenzulernen, erarbeiten die Schülerinnen und Schüler im Rahmen eines Lernzirkels Wissenswertes zu seiner Biographie. </w:t>
      </w:r>
    </w:p>
    <w:p w:rsidR="00755FC4" w:rsidRPr="003D0C1C" w:rsidRDefault="000E73C4" w:rsidP="000E73C4">
      <w:pPr>
        <w:spacing w:after="0" w:line="300" w:lineRule="atLeast"/>
      </w:pPr>
      <w:r w:rsidRPr="003D0C1C">
        <w:t xml:space="preserve">Zunächst </w:t>
      </w:r>
      <w:r w:rsidR="00B87CFC" w:rsidRPr="003D0C1C">
        <w:t>wird</w:t>
      </w:r>
      <w:r w:rsidRPr="003D0C1C">
        <w:t xml:space="preserve"> ihnen dazu </w:t>
      </w:r>
      <w:r w:rsidR="00B87CFC" w:rsidRPr="003D0C1C">
        <w:t>der entsprechende Wikipedia-Artikel  (</w:t>
      </w:r>
      <w:hyperlink r:id="rId8" w:history="1">
        <w:r w:rsidR="009E54CA" w:rsidRPr="003D0C1C">
          <w:rPr>
            <w:rStyle w:val="Hyperlink"/>
          </w:rPr>
          <w:t>https://de.wikipedia.org/wiki/E._T._A._Hoffmann</w:t>
        </w:r>
      </w:hyperlink>
      <w:r w:rsidR="00B87CFC" w:rsidRPr="003D0C1C">
        <w:t xml:space="preserve">) zur Verfügung gestellt, der zentrale Basisinformationen für die spätere Weiterarbeit liefert. Der Artikel </w:t>
      </w:r>
      <w:r w:rsidR="00530B6C">
        <w:t>ist besonders geeignet</w:t>
      </w:r>
      <w:r w:rsidR="00B87CFC" w:rsidRPr="003D0C1C">
        <w:t xml:space="preserve">, weil er in überschaubarer Form einen sinnvollen Überblick über </w:t>
      </w:r>
      <w:r w:rsidR="00530B6C">
        <w:t>biographische Fakten</w:t>
      </w:r>
      <w:r w:rsidR="00B87CFC" w:rsidRPr="003D0C1C">
        <w:t xml:space="preserve"> und Zusammenhänge bietet. </w:t>
      </w:r>
    </w:p>
    <w:p w:rsidR="00102A6B" w:rsidRPr="003D0C1C" w:rsidRDefault="00B87CFC" w:rsidP="000E73C4">
      <w:pPr>
        <w:spacing w:after="0" w:line="300" w:lineRule="atLeast"/>
      </w:pPr>
      <w:r w:rsidRPr="003D0C1C">
        <w:t xml:space="preserve">Die Erarbeitung findet in drei </w:t>
      </w:r>
      <w:r w:rsidR="00102A6B" w:rsidRPr="003D0C1C">
        <w:t>Themen</w:t>
      </w:r>
      <w:r w:rsidRPr="003D0C1C">
        <w:t xml:space="preserve">gruppen </w:t>
      </w:r>
      <w:r w:rsidR="00102A6B" w:rsidRPr="003D0C1C">
        <w:t>zu den nachfolgenden Schwerpunkten statt:</w:t>
      </w:r>
    </w:p>
    <w:p w:rsidR="00102A6B" w:rsidRPr="003D0C1C" w:rsidRDefault="00102A6B" w:rsidP="00102A6B">
      <w:pPr>
        <w:pStyle w:val="Listenabsatz"/>
        <w:spacing w:after="0" w:line="300" w:lineRule="atLeast"/>
      </w:pPr>
    </w:p>
    <w:p w:rsidR="00102A6B" w:rsidRPr="003D0C1C" w:rsidRDefault="009E54CA" w:rsidP="00D636D3">
      <w:pPr>
        <w:pStyle w:val="Listenabsatz"/>
        <w:numPr>
          <w:ilvl w:val="0"/>
          <w:numId w:val="1"/>
        </w:numPr>
        <w:spacing w:after="0" w:line="300" w:lineRule="atLeast"/>
        <w:ind w:left="0" w:firstLine="0"/>
      </w:pPr>
      <w:r w:rsidRPr="003D0C1C">
        <w:t>Orte,</w:t>
      </w:r>
      <w:r w:rsidR="00A67756" w:rsidRPr="003D0C1C">
        <w:t xml:space="preserve"> </w:t>
      </w:r>
      <w:r w:rsidR="00B87CFC" w:rsidRPr="003D0C1C">
        <w:t>L</w:t>
      </w:r>
      <w:r w:rsidR="00102A6B" w:rsidRPr="003D0C1C">
        <w:t>ebensstationen und Begegnungen</w:t>
      </w:r>
    </w:p>
    <w:p w:rsidR="00102A6B" w:rsidRPr="003D0C1C" w:rsidRDefault="00B87CFC" w:rsidP="00D636D3">
      <w:pPr>
        <w:pStyle w:val="Listenabsatz"/>
        <w:numPr>
          <w:ilvl w:val="0"/>
          <w:numId w:val="1"/>
        </w:numPr>
        <w:spacing w:after="0" w:line="300" w:lineRule="atLeast"/>
        <w:ind w:left="0" w:firstLine="0"/>
      </w:pPr>
      <w:r w:rsidRPr="003D0C1C">
        <w:t>Beruf und Beruf</w:t>
      </w:r>
      <w:r w:rsidR="00102A6B" w:rsidRPr="003D0C1C">
        <w:t>ung</w:t>
      </w:r>
    </w:p>
    <w:p w:rsidR="003D0C1C" w:rsidRPr="00D636D3" w:rsidRDefault="00102A6B" w:rsidP="00D636D3">
      <w:pPr>
        <w:pStyle w:val="Listenabsatz"/>
        <w:numPr>
          <w:ilvl w:val="0"/>
          <w:numId w:val="1"/>
        </w:numPr>
        <w:spacing w:after="0" w:line="300" w:lineRule="atLeast"/>
        <w:ind w:left="0" w:firstLine="0"/>
        <w:rPr>
          <w:sz w:val="18"/>
          <w:szCs w:val="18"/>
        </w:rPr>
      </w:pPr>
      <w:r w:rsidRPr="003D0C1C">
        <w:t>Hoffmann und seine Zeit</w:t>
      </w:r>
      <w:r w:rsidR="00360AD8" w:rsidRPr="003D0C1C">
        <w:t xml:space="preserve"> (weiterführende Materialien für eine Vertiefung zu einem späteren</w:t>
      </w:r>
      <w:r w:rsidR="00D636D3">
        <w:br/>
        <w:t xml:space="preserve">             </w:t>
      </w:r>
      <w:r w:rsidR="00360AD8" w:rsidRPr="003D0C1C">
        <w:t xml:space="preserve"> Zeitpunkt finden sich hier:</w:t>
      </w:r>
      <w:r w:rsidR="00D636D3" w:rsidRPr="00D636D3">
        <w:t xml:space="preserve"> </w:t>
      </w:r>
      <w:r w:rsidR="00D636D3">
        <w:br/>
        <w:t xml:space="preserve">              </w:t>
      </w:r>
      <w:hyperlink r:id="rId9" w:history="1">
        <w:r w:rsidR="00D636D3" w:rsidRPr="00622106">
          <w:rPr>
            <w:rStyle w:val="Hyperlink"/>
            <w:sz w:val="18"/>
            <w:szCs w:val="18"/>
          </w:rPr>
          <w:t>https://lehrerfortbildung-bw.de/u_sprachlit/deutsch/bs/projekte/epik/sandmann/05_epoche/index.html</w:t>
        </w:r>
      </w:hyperlink>
      <w:r w:rsidR="00D636D3" w:rsidRPr="00D636D3">
        <w:rPr>
          <w:sz w:val="18"/>
          <w:szCs w:val="18"/>
        </w:rPr>
        <w:t xml:space="preserve"> </w:t>
      </w:r>
      <w:r w:rsidR="00360AD8" w:rsidRPr="00D636D3">
        <w:rPr>
          <w:sz w:val="18"/>
          <w:szCs w:val="18"/>
        </w:rPr>
        <w:t xml:space="preserve"> </w:t>
      </w:r>
    </w:p>
    <w:p w:rsidR="00F73B7D" w:rsidRPr="003D0C1C" w:rsidRDefault="00102A6B" w:rsidP="00102A6B">
      <w:pPr>
        <w:spacing w:after="0" w:line="300" w:lineRule="atLeast"/>
      </w:pPr>
      <w:r w:rsidRPr="003D0C1C">
        <w:t>Es empfiehlt sich</w:t>
      </w:r>
      <w:r w:rsidR="00D027B3" w:rsidRPr="003D0C1C">
        <w:t xml:space="preserve">, </w:t>
      </w:r>
      <w:r w:rsidR="00D11EB1">
        <w:t>die Klasse</w:t>
      </w:r>
      <w:r w:rsidR="00D027B3" w:rsidRPr="003D0C1C">
        <w:t xml:space="preserve"> in Kleingruppen mit je drei Schülerinnen und Schülern </w:t>
      </w:r>
      <w:r w:rsidR="00946C72" w:rsidRPr="003D0C1C">
        <w:t>auf</w:t>
      </w:r>
      <w:r w:rsidR="00D027B3" w:rsidRPr="003D0C1C">
        <w:t>zuteilen, welche Wissenswertes zu ihrem Them</w:t>
      </w:r>
      <w:r w:rsidR="00F73B7D" w:rsidRPr="003D0C1C">
        <w:t>enschwerpunkt sammeln. D</w:t>
      </w:r>
      <w:r w:rsidR="00D027B3" w:rsidRPr="003D0C1C">
        <w:t xml:space="preserve">ies geschieht, indem Sie einen Entwurf für eine Wandzeitung </w:t>
      </w:r>
      <w:r w:rsidR="003914A8" w:rsidRPr="003D0C1C">
        <w:t>(</w:t>
      </w:r>
      <w:hyperlink r:id="rId10" w:history="1">
        <w:r w:rsidR="003914A8" w:rsidRPr="003D0C1C">
          <w:rPr>
            <w:rStyle w:val="Hyperlink"/>
          </w:rPr>
          <w:t>http://methodenpool.uni-koeln.de/download/wandzeitung.pdf</w:t>
        </w:r>
      </w:hyperlink>
      <w:r w:rsidR="003914A8" w:rsidRPr="003D0C1C">
        <w:t xml:space="preserve">) </w:t>
      </w:r>
      <w:r w:rsidR="00D027B3" w:rsidRPr="003D0C1C">
        <w:t>erstellen</w:t>
      </w:r>
      <w:r w:rsidR="00946C72" w:rsidRPr="003D0C1C">
        <w:t>, den sie in der größeren Gruppen diskutieren, um sich schließ</w:t>
      </w:r>
      <w:r w:rsidR="00F73B7D" w:rsidRPr="003D0C1C">
        <w:t>lich auf eine gemeinsame Version</w:t>
      </w:r>
      <w:r w:rsidR="00946C72" w:rsidRPr="003D0C1C">
        <w:t xml:space="preserve"> zu einigen</w:t>
      </w:r>
      <w:r w:rsidR="009D1D17" w:rsidRPr="003D0C1C">
        <w:t xml:space="preserve"> – </w:t>
      </w:r>
      <w:r w:rsidR="00F73B7D" w:rsidRPr="003D0C1C">
        <w:t>die größeren Gruppen bestehen aus den Kleingruppen, die sich mit dem</w:t>
      </w:r>
      <w:r w:rsidR="00D11EB1">
        <w:t>selben Aspekt beschäftigt haben. J</w:t>
      </w:r>
      <w:r w:rsidR="00946C72" w:rsidRPr="003D0C1C">
        <w:t xml:space="preserve">e nach Größe der Klasse wird es zwei bis drei Kleingruppen pro Basisstation geben, die zunächst getrennt voneinander arbeiten. </w:t>
      </w:r>
    </w:p>
    <w:p w:rsidR="009D1D17" w:rsidRPr="003D0C1C" w:rsidRDefault="00F73B7D" w:rsidP="00102A6B">
      <w:pPr>
        <w:spacing w:after="0" w:line="300" w:lineRule="atLeast"/>
      </w:pPr>
      <w:r w:rsidRPr="003D0C1C">
        <w:t xml:space="preserve">Das Ergebnis, auf das sich die Gruppen festgelegt haben, wird in Form einer Wandzeitung umgesetzt. Dafür </w:t>
      </w:r>
      <w:r w:rsidR="00822F57" w:rsidRPr="003D0C1C">
        <w:t>erhalten sie</w:t>
      </w:r>
      <w:r w:rsidRPr="003D0C1C">
        <w:t xml:space="preserve"> Plakate, </w:t>
      </w:r>
      <w:r w:rsidR="00822F57" w:rsidRPr="003D0C1C">
        <w:t>Stifte etc</w:t>
      </w:r>
      <w:r w:rsidRPr="003D0C1C">
        <w:t>.</w:t>
      </w:r>
      <w:r w:rsidR="00822F57" w:rsidRPr="003D0C1C">
        <w:t xml:space="preserve"> </w:t>
      </w:r>
    </w:p>
    <w:p w:rsidR="0051016D" w:rsidRPr="003D0C1C" w:rsidRDefault="005D4EB5" w:rsidP="00102A6B">
      <w:pPr>
        <w:spacing w:after="0" w:line="300" w:lineRule="atLeast"/>
      </w:pPr>
      <w:r w:rsidRPr="003D0C1C">
        <w:t>Ergänzend</w:t>
      </w:r>
      <w:r w:rsidR="0051016D" w:rsidRPr="003D0C1C">
        <w:t xml:space="preserve"> erstellen die Themengruppen ein </w:t>
      </w:r>
      <w:r w:rsidR="00D11EB1">
        <w:t xml:space="preserve">stichpunktartiges, </w:t>
      </w:r>
      <w:r w:rsidR="009D1D17" w:rsidRPr="003D0C1C">
        <w:t>mindestens eine Seite umfassendes</w:t>
      </w:r>
      <w:r w:rsidRPr="003D0C1C">
        <w:t xml:space="preserve"> </w:t>
      </w:r>
      <w:r w:rsidR="00D11EB1">
        <w:t>Infoblatt für die ganze</w:t>
      </w:r>
      <w:r w:rsidR="0051016D" w:rsidRPr="003D0C1C">
        <w:t xml:space="preserve"> Klasse, damit alle</w:t>
      </w:r>
      <w:r w:rsidRPr="003D0C1C">
        <w:t xml:space="preserve"> im weiteren Verlauf der Stationenarbeit </w:t>
      </w:r>
      <w:r w:rsidR="0051016D" w:rsidRPr="003D0C1C">
        <w:t xml:space="preserve">auf die hier erarbeiteten Informationen zurückgreifen können. </w:t>
      </w:r>
      <w:r w:rsidR="00822F57" w:rsidRPr="003D0C1C">
        <w:t>Im Anschluss werden die Ergebnisse präsentiert.</w:t>
      </w:r>
      <w:r w:rsidR="00A67756" w:rsidRPr="003D0C1C">
        <w:t xml:space="preserve"> </w:t>
      </w:r>
    </w:p>
    <w:p w:rsidR="009E54CA" w:rsidRPr="003D0C1C" w:rsidRDefault="0051016D" w:rsidP="00102A6B">
      <w:pPr>
        <w:spacing w:after="0" w:line="300" w:lineRule="atLeast"/>
      </w:pPr>
      <w:r w:rsidRPr="003D0C1C">
        <w:t xml:space="preserve">Vorab ist es sinnvoll, die Lernenden </w:t>
      </w:r>
      <w:r w:rsidR="005D4EB5" w:rsidRPr="003D0C1C">
        <w:t xml:space="preserve">explizit </w:t>
      </w:r>
      <w:r w:rsidRPr="003D0C1C">
        <w:t>d</w:t>
      </w:r>
      <w:r w:rsidR="005D4EB5" w:rsidRPr="003D0C1C">
        <w:t>arauf hinzuweisen,</w:t>
      </w:r>
      <w:r w:rsidRPr="003D0C1C">
        <w:t xml:space="preserve"> </w:t>
      </w:r>
      <w:r w:rsidR="005D4EB5" w:rsidRPr="003D0C1C">
        <w:t>dass es verschiedene thematische Schwerpunkte gibt, die es erfordern, die</w:t>
      </w:r>
      <w:r w:rsidRPr="003D0C1C">
        <w:t xml:space="preserve"> Informationen so auf</w:t>
      </w:r>
      <w:r w:rsidR="005D4EB5" w:rsidRPr="003D0C1C">
        <w:t>zu</w:t>
      </w:r>
      <w:r w:rsidRPr="003D0C1C">
        <w:t>bereiten und vor</w:t>
      </w:r>
      <w:r w:rsidR="005D4EB5" w:rsidRPr="003D0C1C">
        <w:t>zu</w:t>
      </w:r>
      <w:r w:rsidRPr="003D0C1C">
        <w:t>stellen,</w:t>
      </w:r>
      <w:r w:rsidR="005D4EB5" w:rsidRPr="003D0C1C">
        <w:t xml:space="preserve"> dass diese auch für die anderen Gruppen </w:t>
      </w:r>
      <w:r w:rsidR="00D11EB1">
        <w:t>nachvollziehbar</w:t>
      </w:r>
      <w:r w:rsidR="005D4EB5" w:rsidRPr="003D0C1C">
        <w:t xml:space="preserve"> sind. </w:t>
      </w:r>
      <w:r w:rsidR="00A67756" w:rsidRPr="003D0C1C">
        <w:t xml:space="preserve"> </w:t>
      </w:r>
    </w:p>
    <w:p w:rsidR="003D0C1C" w:rsidRPr="003D0C1C" w:rsidRDefault="003D0C1C" w:rsidP="00102A6B">
      <w:pPr>
        <w:spacing w:after="0" w:line="300" w:lineRule="atLeast"/>
      </w:pPr>
    </w:p>
    <w:p w:rsidR="002E4F72" w:rsidRPr="003D0C1C" w:rsidRDefault="002E4F72" w:rsidP="002E4F72">
      <w:pPr>
        <w:spacing w:after="0" w:line="240" w:lineRule="auto"/>
        <w:jc w:val="both"/>
      </w:pPr>
      <w:r w:rsidRPr="003D0C1C">
        <w:t xml:space="preserve">Im Rahmen der erarbeiteten Wandzeitungen, Infoblätter und Kurzvorträge </w:t>
      </w:r>
      <w:r w:rsidR="005A3E48" w:rsidRPr="003D0C1C">
        <w:t>werden sicherlich einige</w:t>
      </w:r>
      <w:r w:rsidRPr="003D0C1C">
        <w:t xml:space="preserve"> </w:t>
      </w:r>
      <w:r w:rsidR="005A3E48" w:rsidRPr="003D0C1C">
        <w:t>der</w:t>
      </w:r>
      <w:r w:rsidRPr="003D0C1C">
        <w:t xml:space="preserve"> </w:t>
      </w:r>
      <w:r w:rsidR="00360AD8" w:rsidRPr="003D0C1C">
        <w:t>auf der folgenden Seite</w:t>
      </w:r>
      <w:r w:rsidRPr="003D0C1C">
        <w:t xml:space="preserve"> angeführten Gesichtspunkte thematisiert werden. Hingewiesen sei darauf, dass es zwischen den einzelnen Aspekten zahlreiche Überschneidungen und Querverbindungen gibt. Die Auflistung erhebt keinen Anspruch auf Vollständigkeit </w:t>
      </w:r>
      <w:r w:rsidR="005A3E48" w:rsidRPr="003D0C1C">
        <w:t xml:space="preserve">der genannten Aspekte </w:t>
      </w:r>
      <w:r w:rsidRPr="003D0C1C">
        <w:t xml:space="preserve">und stellt ebenso keinen Erwartungshorizont dar. Sie soll lediglich der Orientierung dienen und Anhaltspunkte für diese und die nachfolgende Erarbeitung bieten. </w:t>
      </w:r>
      <w:r w:rsidR="005A3E48" w:rsidRPr="003D0C1C">
        <w:t xml:space="preserve">Aufgeführt werden hier bereits Aspekte, welche das literarische Schaffen Hoffmanns in den Blick nehmen – wie Werke, Figuren, Themen, Motive und die Rezeption –, diese </w:t>
      </w:r>
      <w:r w:rsidR="00D11EB1">
        <w:t>könnten</w:t>
      </w:r>
      <w:r w:rsidR="005A3E48" w:rsidRPr="003D0C1C">
        <w:t xml:space="preserve"> später</w:t>
      </w:r>
      <w:r w:rsidR="008820AA" w:rsidRPr="003D0C1C">
        <w:t xml:space="preserve"> </w:t>
      </w:r>
      <w:r w:rsidR="005A3E48" w:rsidRPr="003D0C1C">
        <w:t>aufgegriffen</w:t>
      </w:r>
      <w:r w:rsidR="00360AD8" w:rsidRPr="003D0C1C">
        <w:t xml:space="preserve"> werden</w:t>
      </w:r>
      <w:r w:rsidR="005A3E48" w:rsidRPr="003D0C1C">
        <w:t>.</w:t>
      </w:r>
    </w:p>
    <w:p w:rsidR="002E4F72" w:rsidRDefault="002E4F72" w:rsidP="002E4F72">
      <w:pPr>
        <w:spacing w:after="0" w:line="240" w:lineRule="auto"/>
        <w:jc w:val="both"/>
      </w:pPr>
      <w:r>
        <w:t xml:space="preserve"> </w:t>
      </w:r>
    </w:p>
    <w:p w:rsidR="00AB7515" w:rsidRDefault="00AB7515">
      <w:pPr>
        <w:rPr>
          <w:b/>
        </w:rPr>
      </w:pPr>
      <w:r>
        <w:rPr>
          <w:b/>
        </w:rPr>
        <w:br w:type="page"/>
      </w:r>
    </w:p>
    <w:p w:rsidR="0095169E" w:rsidRDefault="0095169E" w:rsidP="002E4F72">
      <w:pPr>
        <w:spacing w:after="0" w:line="240" w:lineRule="auto"/>
        <w:jc w:val="both"/>
        <w:rPr>
          <w:b/>
        </w:rPr>
      </w:pPr>
    </w:p>
    <w:p w:rsidR="002E4F72" w:rsidRPr="00CC7E9E" w:rsidRDefault="002E4F72" w:rsidP="002E4F72">
      <w:pPr>
        <w:spacing w:after="0" w:line="240" w:lineRule="auto"/>
        <w:jc w:val="both"/>
        <w:rPr>
          <w:b/>
        </w:rPr>
      </w:pPr>
      <w:r w:rsidRPr="00CC7E9E">
        <w:rPr>
          <w:b/>
        </w:rPr>
        <w:t>Aspekt</w:t>
      </w:r>
      <w:r w:rsidRPr="00CC7E9E">
        <w:rPr>
          <w:b/>
        </w:rPr>
        <w:tab/>
      </w:r>
      <w:r w:rsidRPr="00CC7E9E">
        <w:rPr>
          <w:b/>
        </w:rPr>
        <w:tab/>
      </w:r>
      <w:r w:rsidRPr="00CC7E9E">
        <w:rPr>
          <w:b/>
        </w:rPr>
        <w:tab/>
      </w:r>
      <w:r w:rsidRPr="00CC7E9E">
        <w:rPr>
          <w:b/>
        </w:rPr>
        <w:tab/>
        <w:t>Mögliche Oberbegriffe, Kon</w:t>
      </w:r>
      <w:r w:rsidR="008820AA" w:rsidRPr="00CC7E9E">
        <w:rPr>
          <w:b/>
        </w:rPr>
        <w:t>kretisierung erforderlich</w:t>
      </w:r>
    </w:p>
    <w:p w:rsidR="002E4F72" w:rsidRPr="00CC7E9E" w:rsidRDefault="002E4F72" w:rsidP="002E4F72">
      <w:pPr>
        <w:spacing w:after="0" w:line="240" w:lineRule="auto"/>
        <w:jc w:val="both"/>
      </w:pPr>
    </w:p>
    <w:p w:rsidR="002E4F72" w:rsidRPr="00CC7E9E" w:rsidRDefault="002E4F72" w:rsidP="00C11F52">
      <w:pPr>
        <w:spacing w:after="0" w:line="240" w:lineRule="auto"/>
        <w:jc w:val="both"/>
      </w:pPr>
      <w:r w:rsidRPr="00CC7E9E">
        <w:t>Herkunft und</w:t>
      </w:r>
      <w:r w:rsidRPr="00CC7E9E">
        <w:tab/>
      </w:r>
      <w:r w:rsidRPr="00CC7E9E">
        <w:tab/>
      </w:r>
      <w:r w:rsidRPr="00CC7E9E">
        <w:tab/>
        <w:t>Das familiäre Umfeld</w:t>
      </w:r>
    </w:p>
    <w:p w:rsidR="002E4F72" w:rsidRPr="00CC7E9E" w:rsidRDefault="002E4F72" w:rsidP="00C11F52">
      <w:pPr>
        <w:spacing w:after="0" w:line="240" w:lineRule="auto"/>
        <w:jc w:val="both"/>
      </w:pPr>
      <w:r w:rsidRPr="00CC7E9E">
        <w:t>Heranwachsen</w:t>
      </w:r>
      <w:r w:rsidRPr="00CC7E9E">
        <w:tab/>
      </w:r>
      <w:r w:rsidRPr="00CC7E9E">
        <w:tab/>
      </w:r>
      <w:r w:rsidRPr="00CC7E9E">
        <w:tab/>
        <w:t>Szenen (und Streiche) der Jugend (</w:t>
      </w:r>
      <w:r w:rsidR="00D636D3" w:rsidRPr="00D636D3">
        <w:t>hier ist die Biographie von Rüdiger</w:t>
      </w:r>
      <w:r w:rsidR="00D636D3">
        <w:br/>
        <w:t xml:space="preserve">                                                        </w:t>
      </w:r>
      <w:r w:rsidR="00D636D3" w:rsidRPr="00D636D3">
        <w:t xml:space="preserve"> Safranski zu empfehlen</w:t>
      </w:r>
      <w:r w:rsidRPr="00D636D3">
        <w:t>)</w:t>
      </w:r>
    </w:p>
    <w:p w:rsidR="002E4F72" w:rsidRPr="00CC7E9E" w:rsidRDefault="002E4F72" w:rsidP="00C11F52">
      <w:pPr>
        <w:spacing w:after="0" w:line="240" w:lineRule="auto"/>
        <w:jc w:val="both"/>
      </w:pPr>
    </w:p>
    <w:p w:rsidR="002E4F72" w:rsidRPr="00CC7E9E" w:rsidRDefault="002E4F72" w:rsidP="00C11F52">
      <w:pPr>
        <w:spacing w:after="0" w:line="240" w:lineRule="auto"/>
        <w:jc w:val="both"/>
      </w:pPr>
      <w:r w:rsidRPr="00CC7E9E">
        <w:t>Orte – Lebensstationen –</w:t>
      </w:r>
      <w:r w:rsidRPr="00CC7E9E">
        <w:tab/>
        <w:t>Königsberg</w:t>
      </w:r>
    </w:p>
    <w:p w:rsidR="002E4F72" w:rsidRPr="00CC7E9E" w:rsidRDefault="002E4F72" w:rsidP="00D11EB1">
      <w:pPr>
        <w:spacing w:after="0" w:line="240" w:lineRule="auto"/>
        <w:jc w:val="both"/>
      </w:pPr>
      <w:r w:rsidRPr="00CC7E9E">
        <w:t>Begegnungen</w:t>
      </w:r>
      <w:r w:rsidRPr="00CC7E9E">
        <w:tab/>
      </w:r>
      <w:r w:rsidR="005A3E48" w:rsidRPr="00CC7E9E">
        <w:tab/>
      </w:r>
      <w:r w:rsidRPr="00CC7E9E">
        <w:tab/>
        <w:t>Posen</w:t>
      </w:r>
    </w:p>
    <w:p w:rsidR="002E4F72" w:rsidRPr="00CC7E9E" w:rsidRDefault="002E4F72" w:rsidP="00C11F52">
      <w:pPr>
        <w:spacing w:after="0" w:line="240" w:lineRule="auto"/>
        <w:jc w:val="both"/>
      </w:pPr>
      <w:r w:rsidRPr="00CC7E9E">
        <w:tab/>
      </w:r>
      <w:r w:rsidRPr="00CC7E9E">
        <w:tab/>
      </w:r>
      <w:r w:rsidRPr="00CC7E9E">
        <w:tab/>
      </w:r>
      <w:r w:rsidRPr="00CC7E9E">
        <w:tab/>
      </w:r>
      <w:proofErr w:type="spellStart"/>
      <w:r w:rsidRPr="00CC7E9E">
        <w:t>Plock</w:t>
      </w:r>
      <w:proofErr w:type="spellEnd"/>
    </w:p>
    <w:p w:rsidR="002E4F72" w:rsidRPr="00CC7E9E" w:rsidRDefault="002E4F72" w:rsidP="00C11F52">
      <w:pPr>
        <w:spacing w:after="0" w:line="240" w:lineRule="auto"/>
        <w:ind w:left="2124" w:firstLine="708"/>
        <w:jc w:val="both"/>
      </w:pPr>
      <w:r w:rsidRPr="00CC7E9E">
        <w:t>Warschau</w:t>
      </w:r>
    </w:p>
    <w:p w:rsidR="002E4F72" w:rsidRPr="00CC7E9E" w:rsidRDefault="002E4F72" w:rsidP="00C11F52">
      <w:pPr>
        <w:spacing w:after="0" w:line="240" w:lineRule="auto"/>
        <w:jc w:val="both"/>
      </w:pPr>
      <w:r w:rsidRPr="00CC7E9E">
        <w:tab/>
      </w:r>
      <w:r w:rsidRPr="00CC7E9E">
        <w:tab/>
      </w:r>
      <w:r w:rsidRPr="00CC7E9E">
        <w:tab/>
      </w:r>
      <w:r w:rsidRPr="00CC7E9E">
        <w:tab/>
        <w:t>Berlin</w:t>
      </w:r>
    </w:p>
    <w:p w:rsidR="002E4F72" w:rsidRPr="00CC7E9E" w:rsidRDefault="002E4F72" w:rsidP="00C11F52">
      <w:pPr>
        <w:spacing w:after="0" w:line="240" w:lineRule="auto"/>
        <w:jc w:val="both"/>
      </w:pPr>
      <w:r w:rsidRPr="00CC7E9E">
        <w:tab/>
      </w:r>
      <w:r w:rsidRPr="00CC7E9E">
        <w:tab/>
      </w:r>
      <w:r w:rsidRPr="00CC7E9E">
        <w:tab/>
      </w:r>
      <w:r w:rsidRPr="00CC7E9E">
        <w:tab/>
        <w:t>Bamberg</w:t>
      </w:r>
    </w:p>
    <w:p w:rsidR="002E4F72" w:rsidRPr="00CC7E9E" w:rsidRDefault="002E4F72" w:rsidP="00C11F52">
      <w:pPr>
        <w:spacing w:after="0" w:line="240" w:lineRule="auto"/>
        <w:jc w:val="both"/>
      </w:pPr>
      <w:r w:rsidRPr="00CC7E9E">
        <w:tab/>
      </w:r>
      <w:r w:rsidRPr="00CC7E9E">
        <w:tab/>
      </w:r>
      <w:r w:rsidRPr="00CC7E9E">
        <w:tab/>
      </w:r>
      <w:r w:rsidRPr="00CC7E9E">
        <w:tab/>
        <w:t>Berlin</w:t>
      </w:r>
    </w:p>
    <w:p w:rsidR="005A3E48" w:rsidRPr="00CC7E9E" w:rsidRDefault="005A3E48" w:rsidP="00C11F52">
      <w:pPr>
        <w:spacing w:after="0" w:line="240" w:lineRule="auto"/>
        <w:ind w:left="2124" w:firstLine="708"/>
        <w:jc w:val="both"/>
      </w:pPr>
    </w:p>
    <w:p w:rsidR="005A3E48" w:rsidRPr="00CC7E9E" w:rsidRDefault="005A3E48" w:rsidP="00C11F52">
      <w:pPr>
        <w:spacing w:after="0" w:line="240" w:lineRule="auto"/>
        <w:ind w:left="2124" w:firstLine="708"/>
        <w:jc w:val="both"/>
      </w:pPr>
      <w:r w:rsidRPr="00CC7E9E">
        <w:t>Freundschaften</w:t>
      </w:r>
      <w:r w:rsidR="008820AA" w:rsidRPr="00CC7E9E">
        <w:t xml:space="preserve"> (Briefe; Inszenierungscharakter)</w:t>
      </w:r>
    </w:p>
    <w:p w:rsidR="005A3E48" w:rsidRPr="00CC7E9E" w:rsidRDefault="00AB7515" w:rsidP="00C11F52">
      <w:pPr>
        <w:spacing w:after="0" w:line="240" w:lineRule="auto"/>
        <w:jc w:val="both"/>
      </w:pPr>
      <w:r>
        <w:tab/>
      </w:r>
      <w:r>
        <w:tab/>
      </w:r>
      <w:r>
        <w:tab/>
      </w:r>
      <w:r w:rsidR="005A3E48" w:rsidRPr="00CC7E9E">
        <w:tab/>
        <w:t>Liebesleben – Liebesleiden</w:t>
      </w:r>
    </w:p>
    <w:p w:rsidR="005A3E48" w:rsidRPr="00CC7E9E" w:rsidRDefault="008820AA" w:rsidP="00C11F52">
      <w:pPr>
        <w:spacing w:after="0" w:line="240" w:lineRule="auto"/>
        <w:jc w:val="both"/>
      </w:pPr>
      <w:r w:rsidRPr="00CC7E9E">
        <w:tab/>
      </w:r>
      <w:r w:rsidRPr="00CC7E9E">
        <w:tab/>
      </w:r>
      <w:r w:rsidRPr="00CC7E9E">
        <w:tab/>
      </w:r>
      <w:r w:rsidRPr="00CC7E9E">
        <w:tab/>
      </w:r>
    </w:p>
    <w:p w:rsidR="008820AA" w:rsidRPr="00CC7E9E" w:rsidRDefault="008820AA" w:rsidP="00C11F52">
      <w:pPr>
        <w:spacing w:after="0" w:line="240" w:lineRule="auto"/>
        <w:jc w:val="both"/>
      </w:pPr>
      <w:r w:rsidRPr="00CC7E9E">
        <w:tab/>
      </w:r>
      <w:r w:rsidRPr="00CC7E9E">
        <w:tab/>
      </w:r>
      <w:r w:rsidRPr="00CC7E9E">
        <w:tab/>
      </w:r>
      <w:r w:rsidRPr="00CC7E9E">
        <w:tab/>
        <w:t>Krankheit und Lebensende</w:t>
      </w:r>
    </w:p>
    <w:p w:rsidR="008820AA" w:rsidRPr="00CC7E9E" w:rsidRDefault="008820AA" w:rsidP="00C11F52">
      <w:pPr>
        <w:spacing w:after="0" w:line="240" w:lineRule="auto"/>
        <w:jc w:val="both"/>
      </w:pPr>
      <w:r w:rsidRPr="00CC7E9E">
        <w:tab/>
      </w:r>
      <w:r w:rsidRPr="00CC7E9E">
        <w:tab/>
      </w:r>
      <w:r w:rsidRPr="00CC7E9E">
        <w:tab/>
      </w:r>
      <w:r w:rsidRPr="00CC7E9E">
        <w:tab/>
        <w:t>(Grab, Nachlass, Gedenktafeln/Denkmäler)</w:t>
      </w:r>
    </w:p>
    <w:p w:rsidR="002E4F72" w:rsidRPr="00CC7E9E" w:rsidRDefault="002E4F72" w:rsidP="00C11F52">
      <w:pPr>
        <w:spacing w:after="0" w:line="240" w:lineRule="auto"/>
        <w:jc w:val="both"/>
      </w:pPr>
    </w:p>
    <w:p w:rsidR="002E4F72" w:rsidRPr="00CC7E9E" w:rsidRDefault="002E4F72" w:rsidP="00C11F52">
      <w:pPr>
        <w:spacing w:after="0" w:line="240" w:lineRule="auto"/>
        <w:jc w:val="both"/>
      </w:pPr>
      <w:r w:rsidRPr="00CC7E9E">
        <w:t xml:space="preserve">Beruf und Berufung </w:t>
      </w:r>
      <w:r w:rsidRPr="00CC7E9E">
        <w:tab/>
      </w:r>
      <w:r w:rsidRPr="00CC7E9E">
        <w:tab/>
      </w:r>
      <w:r w:rsidR="00D11EB1">
        <w:t>Ausbildung</w:t>
      </w:r>
    </w:p>
    <w:p w:rsidR="002E4F72" w:rsidRPr="00CC7E9E" w:rsidRDefault="002E4F72" w:rsidP="00C11F52">
      <w:pPr>
        <w:spacing w:after="0" w:line="240" w:lineRule="auto"/>
        <w:ind w:left="2124" w:firstLine="708"/>
        <w:jc w:val="both"/>
      </w:pPr>
      <w:r w:rsidRPr="00CC7E9E">
        <w:t>Justizdienst</w:t>
      </w:r>
    </w:p>
    <w:p w:rsidR="002E4F72" w:rsidRPr="00CC7E9E" w:rsidRDefault="002E4F72" w:rsidP="00C11F52">
      <w:pPr>
        <w:spacing w:after="0" w:line="240" w:lineRule="auto"/>
        <w:ind w:left="2124" w:firstLine="708"/>
        <w:jc w:val="both"/>
      </w:pPr>
      <w:r w:rsidRPr="00CC7E9E">
        <w:t>Kapellmeister</w:t>
      </w:r>
    </w:p>
    <w:p w:rsidR="002E4F72" w:rsidRPr="00CC7E9E" w:rsidRDefault="002E4F72" w:rsidP="00C11F52">
      <w:pPr>
        <w:spacing w:after="0" w:line="240" w:lineRule="auto"/>
        <w:jc w:val="both"/>
      </w:pPr>
      <w:r w:rsidRPr="00CC7E9E">
        <w:tab/>
      </w:r>
      <w:r w:rsidRPr="00CC7E9E">
        <w:tab/>
      </w:r>
      <w:r w:rsidRPr="00CC7E9E">
        <w:tab/>
      </w:r>
      <w:r w:rsidRPr="00CC7E9E">
        <w:tab/>
      </w:r>
      <w:r w:rsidR="005A3E48" w:rsidRPr="00CC7E9E">
        <w:t>Komponist</w:t>
      </w:r>
      <w:r w:rsidR="00D11EB1">
        <w:t>/Musiklehrer</w:t>
      </w:r>
    </w:p>
    <w:p w:rsidR="002E4F72" w:rsidRPr="00CC7E9E" w:rsidRDefault="00D11EB1" w:rsidP="00C11F52">
      <w:pPr>
        <w:spacing w:after="0" w:line="240" w:lineRule="auto"/>
        <w:ind w:left="2124" w:firstLine="708"/>
        <w:jc w:val="both"/>
      </w:pPr>
      <w:r>
        <w:t>Maler/Zeichner</w:t>
      </w:r>
    </w:p>
    <w:p w:rsidR="002E4F72" w:rsidRPr="00CC7E9E" w:rsidRDefault="00D11EB1" w:rsidP="00D11EB1">
      <w:pPr>
        <w:spacing w:after="0" w:line="240" w:lineRule="auto"/>
        <w:ind w:left="2124" w:firstLine="708"/>
        <w:jc w:val="both"/>
      </w:pPr>
      <w:r>
        <w:t>Dichter</w:t>
      </w:r>
      <w:r w:rsidR="002E4F72" w:rsidRPr="00CC7E9E">
        <w:tab/>
      </w:r>
    </w:p>
    <w:p w:rsidR="002E4F72" w:rsidRPr="00CC7E9E" w:rsidRDefault="002E4F72" w:rsidP="00C11F52">
      <w:pPr>
        <w:spacing w:after="0" w:line="240" w:lineRule="auto"/>
        <w:jc w:val="both"/>
      </w:pPr>
    </w:p>
    <w:p w:rsidR="002E4F72" w:rsidRPr="00D636D3" w:rsidRDefault="002E4F72" w:rsidP="00C11F52">
      <w:pPr>
        <w:spacing w:after="0" w:line="240" w:lineRule="auto"/>
        <w:jc w:val="both"/>
      </w:pPr>
      <w:r w:rsidRPr="00CC7E9E">
        <w:t>Hoffmann und seine Zeit</w:t>
      </w:r>
      <w:r w:rsidRPr="00CC7E9E">
        <w:tab/>
        <w:t>Entwicklungen und Umbrüche [insbesondere in Königsberg (</w:t>
      </w:r>
      <w:r w:rsidR="00D636D3" w:rsidRPr="00D636D3">
        <w:t xml:space="preserve">vgl. auch </w:t>
      </w:r>
      <w:r w:rsidR="00D636D3">
        <w:br/>
        <w:t xml:space="preserve">                                                         </w:t>
      </w:r>
      <w:r w:rsidR="00D636D3" w:rsidRPr="00D636D3">
        <w:t>hier Safranski</w:t>
      </w:r>
      <w:r w:rsidRPr="00D636D3">
        <w:t>)]</w:t>
      </w:r>
    </w:p>
    <w:p w:rsidR="002E4F72" w:rsidRPr="00CC7E9E" w:rsidRDefault="002E4F72" w:rsidP="00C11F52">
      <w:pPr>
        <w:spacing w:after="0" w:line="240" w:lineRule="auto"/>
        <w:ind w:left="2124" w:firstLine="708"/>
        <w:jc w:val="both"/>
      </w:pPr>
      <w:r w:rsidRPr="00D636D3">
        <w:t>Romantik</w:t>
      </w:r>
    </w:p>
    <w:p w:rsidR="002E4F72" w:rsidRPr="00CC7E9E" w:rsidRDefault="002E4F72" w:rsidP="00C11F52">
      <w:pPr>
        <w:spacing w:after="0" w:line="240" w:lineRule="auto"/>
        <w:jc w:val="both"/>
      </w:pPr>
      <w:r w:rsidRPr="00CC7E9E">
        <w:tab/>
      </w:r>
      <w:r w:rsidRPr="00CC7E9E">
        <w:tab/>
      </w:r>
      <w:r w:rsidRPr="00CC7E9E">
        <w:tab/>
      </w:r>
      <w:r w:rsidRPr="00CC7E9E">
        <w:tab/>
        <w:t>Künstlerische Vorbilder</w:t>
      </w:r>
    </w:p>
    <w:p w:rsidR="002E4F72" w:rsidRPr="00CC7E9E" w:rsidRDefault="002E4F72" w:rsidP="00C11F52">
      <w:pPr>
        <w:spacing w:after="0" w:line="240" w:lineRule="auto"/>
        <w:jc w:val="both"/>
      </w:pPr>
      <w:r w:rsidRPr="00CC7E9E">
        <w:tab/>
      </w:r>
      <w:r w:rsidRPr="00CC7E9E">
        <w:tab/>
      </w:r>
      <w:r w:rsidRPr="00CC7E9E">
        <w:tab/>
      </w:r>
      <w:r w:rsidRPr="00CC7E9E">
        <w:tab/>
        <w:t>Kontakt zu anderen Künstlern</w:t>
      </w:r>
    </w:p>
    <w:p w:rsidR="002E4F72" w:rsidRPr="00CC7E9E" w:rsidRDefault="002E4F72" w:rsidP="00C11F52">
      <w:pPr>
        <w:spacing w:after="0" w:line="240" w:lineRule="auto"/>
        <w:jc w:val="both"/>
      </w:pPr>
      <w:r w:rsidRPr="00CC7E9E">
        <w:tab/>
      </w:r>
      <w:r w:rsidRPr="00CC7E9E">
        <w:tab/>
      </w:r>
      <w:r w:rsidRPr="00CC7E9E">
        <w:tab/>
      </w:r>
      <w:r w:rsidRPr="00CC7E9E">
        <w:tab/>
        <w:t>Provokationen</w:t>
      </w:r>
    </w:p>
    <w:p w:rsidR="002E4F72" w:rsidRPr="00CC7E9E" w:rsidRDefault="002E4F72" w:rsidP="00C11F52">
      <w:pPr>
        <w:spacing w:after="0" w:line="240" w:lineRule="auto"/>
        <w:jc w:val="both"/>
      </w:pPr>
    </w:p>
    <w:p w:rsidR="002E4F72" w:rsidRPr="00CC7E9E" w:rsidRDefault="002E4F72" w:rsidP="00C11F52">
      <w:pPr>
        <w:spacing w:after="0" w:line="240" w:lineRule="auto"/>
        <w:jc w:val="both"/>
      </w:pPr>
      <w:r w:rsidRPr="00CC7E9E">
        <w:t>Hoffmann und seine Figuren</w:t>
      </w:r>
      <w:r w:rsidRPr="00CC7E9E">
        <w:tab/>
        <w:t xml:space="preserve">Identifikation – Ironisierung </w:t>
      </w:r>
    </w:p>
    <w:p w:rsidR="002E4F72" w:rsidRPr="00CC7E9E" w:rsidRDefault="002E4F72" w:rsidP="00C11F52">
      <w:pPr>
        <w:spacing w:after="0" w:line="240" w:lineRule="auto"/>
        <w:jc w:val="both"/>
      </w:pPr>
    </w:p>
    <w:p w:rsidR="002E4F72" w:rsidRPr="00CC7E9E" w:rsidRDefault="002E4F72" w:rsidP="00C11F52">
      <w:pPr>
        <w:spacing w:after="0" w:line="240" w:lineRule="auto"/>
        <w:ind w:left="2832" w:hanging="2832"/>
        <w:jc w:val="both"/>
      </w:pPr>
      <w:r w:rsidRPr="00CC7E9E">
        <w:t>Lebensthemen – literarische</w:t>
      </w:r>
      <w:r w:rsidR="00CC7E9E" w:rsidRPr="00CC7E9E">
        <w:tab/>
      </w:r>
      <w:r w:rsidR="00A366BF">
        <w:t xml:space="preserve"> – </w:t>
      </w:r>
      <w:r w:rsidR="00CC7E9E" w:rsidRPr="00CC7E9E">
        <w:t>Aspekte für einen Lehrervortrag siehe unten</w:t>
      </w:r>
      <w:r w:rsidR="00A366BF">
        <w:t xml:space="preserve"> – </w:t>
      </w:r>
    </w:p>
    <w:p w:rsidR="002E4F72" w:rsidRPr="00CC7E9E" w:rsidRDefault="002E4F72" w:rsidP="00CC7E9E">
      <w:pPr>
        <w:spacing w:after="0" w:line="240" w:lineRule="auto"/>
        <w:ind w:left="2832" w:hanging="2832"/>
        <w:jc w:val="both"/>
      </w:pPr>
      <w:r w:rsidRPr="00CC7E9E">
        <w:t>Themen</w:t>
      </w:r>
      <w:r w:rsidRPr="00CC7E9E">
        <w:tab/>
      </w:r>
    </w:p>
    <w:p w:rsidR="008820AA" w:rsidRPr="00CC7E9E" w:rsidRDefault="008820AA" w:rsidP="00C11F52">
      <w:pPr>
        <w:spacing w:after="0" w:line="240" w:lineRule="auto"/>
        <w:jc w:val="both"/>
      </w:pPr>
    </w:p>
    <w:p w:rsidR="002E4F72" w:rsidRPr="00CC7E9E" w:rsidRDefault="005A3E48" w:rsidP="00C11F52">
      <w:pPr>
        <w:spacing w:after="0" w:line="240" w:lineRule="auto"/>
        <w:jc w:val="both"/>
      </w:pPr>
      <w:r w:rsidRPr="00CC7E9E">
        <w:t xml:space="preserve">Werke </w:t>
      </w:r>
      <w:r w:rsidR="008820AA" w:rsidRPr="00CC7E9E">
        <w:tab/>
      </w:r>
      <w:r w:rsidR="008820AA" w:rsidRPr="00CC7E9E">
        <w:tab/>
      </w:r>
      <w:r w:rsidR="008820AA" w:rsidRPr="00CC7E9E">
        <w:tab/>
      </w:r>
      <w:r w:rsidR="008820AA" w:rsidRPr="00CC7E9E">
        <w:tab/>
        <w:t xml:space="preserve">siehe z. B. </w:t>
      </w:r>
      <w:hyperlink r:id="rId11" w:history="1">
        <w:r w:rsidR="008820AA" w:rsidRPr="00CC7E9E">
          <w:rPr>
            <w:rStyle w:val="Hyperlink"/>
          </w:rPr>
          <w:t>http://gutenberg.spiegel.de/autor/eta-hoffmann-154</w:t>
        </w:r>
      </w:hyperlink>
      <w:r w:rsidR="008820AA" w:rsidRPr="00CC7E9E">
        <w:t xml:space="preserve"> </w:t>
      </w:r>
    </w:p>
    <w:p w:rsidR="002E4F72" w:rsidRPr="00CC7E9E" w:rsidRDefault="002E4F72" w:rsidP="00C11F52">
      <w:pPr>
        <w:spacing w:after="0" w:line="240" w:lineRule="auto"/>
        <w:jc w:val="both"/>
      </w:pPr>
    </w:p>
    <w:p w:rsidR="002E4F72" w:rsidRPr="00CC7E9E" w:rsidRDefault="002E4F72" w:rsidP="00C11F52">
      <w:pPr>
        <w:spacing w:after="0" w:line="240" w:lineRule="auto"/>
        <w:jc w:val="both"/>
      </w:pPr>
      <w:r w:rsidRPr="00CC7E9E">
        <w:t>Wiederkehrende Motive</w:t>
      </w:r>
      <w:r w:rsidRPr="00CC7E9E">
        <w:tab/>
        <w:t>vgl. Lebensthemen</w:t>
      </w:r>
    </w:p>
    <w:p w:rsidR="002E4F72" w:rsidRPr="00CC7E9E" w:rsidRDefault="002E4F72" w:rsidP="00C11F52">
      <w:pPr>
        <w:spacing w:after="0" w:line="240" w:lineRule="auto"/>
        <w:jc w:val="both"/>
      </w:pPr>
    </w:p>
    <w:p w:rsidR="002E4F72" w:rsidRPr="00CC7E9E" w:rsidRDefault="002E4F72" w:rsidP="00C11F52">
      <w:pPr>
        <w:spacing w:after="0" w:line="240" w:lineRule="auto"/>
        <w:jc w:val="both"/>
      </w:pPr>
      <w:r w:rsidRPr="00CC7E9E">
        <w:t xml:space="preserve">Konsequenzen der </w:t>
      </w:r>
      <w:r w:rsidRPr="00CC7E9E">
        <w:tab/>
      </w:r>
      <w:r w:rsidRPr="00CC7E9E">
        <w:tab/>
        <w:t>Zensur und Disziplinarverfahren</w:t>
      </w:r>
    </w:p>
    <w:p w:rsidR="002E4F72" w:rsidRPr="00CC7E9E" w:rsidRDefault="002E4F72" w:rsidP="00C11F52">
      <w:pPr>
        <w:spacing w:after="0" w:line="240" w:lineRule="auto"/>
        <w:jc w:val="both"/>
      </w:pPr>
      <w:r w:rsidRPr="00CC7E9E">
        <w:t>Provokation</w:t>
      </w:r>
    </w:p>
    <w:p w:rsidR="008820AA" w:rsidRPr="00CC7E9E" w:rsidRDefault="008820AA" w:rsidP="00C11F52">
      <w:pPr>
        <w:spacing w:after="0" w:line="240" w:lineRule="auto"/>
        <w:jc w:val="both"/>
      </w:pPr>
    </w:p>
    <w:p w:rsidR="002E4F72" w:rsidRPr="00CC7E9E" w:rsidRDefault="002E4F72" w:rsidP="00C11F52">
      <w:pPr>
        <w:spacing w:after="0" w:line="240" w:lineRule="auto"/>
        <w:jc w:val="both"/>
      </w:pPr>
      <w:r w:rsidRPr="00CC7E9E">
        <w:t xml:space="preserve">Rezeption: Zur </w:t>
      </w:r>
      <w:proofErr w:type="spellStart"/>
      <w:r w:rsidRPr="00F15196">
        <w:t>Wahrnehm</w:t>
      </w:r>
      <w:proofErr w:type="spellEnd"/>
      <w:r w:rsidRPr="00CC7E9E">
        <w:t>-</w:t>
      </w:r>
      <w:r w:rsidRPr="00CC7E9E">
        <w:tab/>
        <w:t>Begeisterung und Ablehnung: Äußerungen von Zeitgenossen u. a.</w:t>
      </w:r>
    </w:p>
    <w:p w:rsidR="002E4F72" w:rsidRPr="00CC7E9E" w:rsidRDefault="002E4F72" w:rsidP="00C11F52">
      <w:pPr>
        <w:spacing w:after="0" w:line="240" w:lineRule="auto"/>
        <w:jc w:val="both"/>
      </w:pPr>
      <w:proofErr w:type="spellStart"/>
      <w:r w:rsidRPr="00CC7E9E">
        <w:t>ung</w:t>
      </w:r>
      <w:proofErr w:type="spellEnd"/>
      <w:r w:rsidRPr="00CC7E9E">
        <w:t xml:space="preserve"> und Wirkung Hoffmanns</w:t>
      </w:r>
      <w:r w:rsidRPr="00CC7E9E">
        <w:tab/>
      </w:r>
      <w:r w:rsidR="005030CE" w:rsidRPr="00CC7E9E">
        <w:t>Heine, Chamisso, Balzac, Sand vs. Goethe, Scott</w:t>
      </w:r>
    </w:p>
    <w:p w:rsidR="002E4F72" w:rsidRPr="00CC7E9E" w:rsidRDefault="002E4F72" w:rsidP="00C11F52">
      <w:pPr>
        <w:spacing w:after="0" w:line="240" w:lineRule="auto"/>
        <w:jc w:val="both"/>
      </w:pPr>
      <w:r w:rsidRPr="00CC7E9E">
        <w:tab/>
      </w:r>
      <w:r w:rsidRPr="00CC7E9E">
        <w:tab/>
      </w:r>
      <w:r w:rsidRPr="00CC7E9E">
        <w:tab/>
      </w:r>
      <w:r w:rsidRPr="00CC7E9E">
        <w:tab/>
        <w:t>E. T. A.-Hoffmann-Gesellschaft</w:t>
      </w:r>
    </w:p>
    <w:p w:rsidR="002E4F72" w:rsidRPr="00CC7E9E" w:rsidRDefault="002E4F72" w:rsidP="002E4F72">
      <w:pPr>
        <w:spacing w:after="0" w:line="240" w:lineRule="auto"/>
        <w:jc w:val="both"/>
      </w:pPr>
    </w:p>
    <w:p w:rsidR="002E4F72" w:rsidRPr="00CC7E9E" w:rsidRDefault="002E4F72" w:rsidP="00102A6B">
      <w:pPr>
        <w:spacing w:after="0" w:line="300" w:lineRule="atLeast"/>
      </w:pPr>
    </w:p>
    <w:p w:rsidR="0095169E" w:rsidRDefault="0095169E" w:rsidP="000E73C4">
      <w:pPr>
        <w:spacing w:after="0" w:line="300" w:lineRule="atLeast"/>
      </w:pPr>
    </w:p>
    <w:p w:rsidR="0095169E" w:rsidRDefault="0095169E" w:rsidP="000E73C4">
      <w:pPr>
        <w:spacing w:after="0" w:line="300" w:lineRule="atLeast"/>
      </w:pPr>
    </w:p>
    <w:p w:rsidR="00EF4874" w:rsidRDefault="005D4EB5" w:rsidP="000E73C4">
      <w:pPr>
        <w:spacing w:after="0" w:line="300" w:lineRule="atLeast"/>
      </w:pPr>
      <w:r>
        <w:t xml:space="preserve">Als Abschluss dieser Unterrichtssequenz können die Schülerinnen und Schüler auf die Seite der </w:t>
      </w:r>
      <w:r>
        <w:br/>
        <w:t xml:space="preserve">E.T.A.-Hoffmann-Gesellschaft verwiesen werden </w:t>
      </w:r>
      <w:r w:rsidR="00EF4874">
        <w:t>(</w:t>
      </w:r>
      <w:hyperlink r:id="rId12" w:history="1">
        <w:r w:rsidR="00EF4874" w:rsidRPr="008359B1">
          <w:rPr>
            <w:rStyle w:val="Hyperlink"/>
          </w:rPr>
          <w:t>http://www.etahg.de/de</w:t>
        </w:r>
      </w:hyperlink>
      <w:r w:rsidR="00EF4874">
        <w:t>)</w:t>
      </w:r>
      <w:r>
        <w:t xml:space="preserve">, auf der zentrale Aspekte zur Biographie und zum künstlerischen Schaffen </w:t>
      </w:r>
      <w:r w:rsidR="00EF4874">
        <w:t>zu finden</w:t>
      </w:r>
      <w:r>
        <w:t xml:space="preserve"> </w:t>
      </w:r>
      <w:r w:rsidR="005030CE">
        <w:t xml:space="preserve">sind </w:t>
      </w:r>
      <w:r>
        <w:t>und mit deren Hilfe sie ihre bisherigen Erkenntnisse vertiefen</w:t>
      </w:r>
      <w:r w:rsidR="00EF4874">
        <w:t>. Besonders hervorzuheben sind in diesem Zusammenhang die Ausführungen zu Hoffmanns Vielfalt als Künstler (</w:t>
      </w:r>
      <w:hyperlink r:id="rId13" w:history="1">
        <w:r w:rsidR="00EF4874" w:rsidRPr="008359B1">
          <w:rPr>
            <w:rStyle w:val="Hyperlink"/>
          </w:rPr>
          <w:t>http://www.etahg.de/de/der_mehrfachkuenstler</w:t>
        </w:r>
      </w:hyperlink>
      <w:r>
        <w:t>)</w:t>
      </w:r>
      <w:r w:rsidR="005030CE">
        <w:t>.</w:t>
      </w:r>
    </w:p>
    <w:p w:rsidR="005D4EB5" w:rsidRDefault="005D4EB5" w:rsidP="000E73C4">
      <w:pPr>
        <w:spacing w:after="0" w:line="300" w:lineRule="atLeast"/>
      </w:pPr>
    </w:p>
    <w:p w:rsidR="00755FC4" w:rsidRDefault="005D4EB5" w:rsidP="000E73C4">
      <w:pPr>
        <w:spacing w:after="0" w:line="300" w:lineRule="atLeast"/>
      </w:pPr>
      <w:r>
        <w:t>Die Materialien zu den</w:t>
      </w:r>
      <w:r w:rsidR="00B87CFC">
        <w:t xml:space="preserve"> Basisstationen</w:t>
      </w:r>
      <w:r>
        <w:t xml:space="preserve"> und der Vertiefungsaufgabe</w:t>
      </w:r>
      <w:r w:rsidR="00B87CFC">
        <w:t xml:space="preserve"> werden den Schülerinnen und Schülern in Papierform oder mit Hilfe des Internets zugänglich gemacht.</w:t>
      </w:r>
    </w:p>
    <w:p w:rsidR="00C11F52" w:rsidRDefault="00C11F52" w:rsidP="00A2535F">
      <w:pPr>
        <w:spacing w:after="0" w:line="240" w:lineRule="auto"/>
        <w:jc w:val="both"/>
      </w:pPr>
    </w:p>
    <w:p w:rsidR="008E715B" w:rsidRDefault="00EF4874" w:rsidP="00A2535F">
      <w:pPr>
        <w:spacing w:after="0" w:line="240" w:lineRule="auto"/>
        <w:jc w:val="both"/>
      </w:pPr>
      <w:r>
        <w:t xml:space="preserve">Die erstellten </w:t>
      </w:r>
      <w:r w:rsidR="00A67756">
        <w:t>Wandzeitung</w:t>
      </w:r>
      <w:r>
        <w:t>en sollen</w:t>
      </w:r>
      <w:r w:rsidR="0061055A">
        <w:t xml:space="preserve"> während der </w:t>
      </w:r>
      <w:r w:rsidR="002A30B2">
        <w:t>gesamten Unterrichtseinheit</w:t>
      </w:r>
      <w:r>
        <w:t xml:space="preserve"> sichtbar bleiben.</w:t>
      </w:r>
    </w:p>
    <w:p w:rsidR="00A2535F" w:rsidRDefault="00A2535F" w:rsidP="00A2535F">
      <w:pPr>
        <w:spacing w:after="0" w:line="240" w:lineRule="auto"/>
        <w:jc w:val="both"/>
      </w:pPr>
    </w:p>
    <w:p w:rsidR="00D11EB1" w:rsidRDefault="00D11EB1" w:rsidP="00A2535F">
      <w:pPr>
        <w:spacing w:after="0" w:line="240" w:lineRule="auto"/>
        <w:jc w:val="both"/>
      </w:pPr>
    </w:p>
    <w:p w:rsidR="00CC7E9E" w:rsidRDefault="00CC7E9E" w:rsidP="00A2535F">
      <w:pPr>
        <w:spacing w:after="0" w:line="240" w:lineRule="auto"/>
        <w:jc w:val="both"/>
      </w:pPr>
      <w:r>
        <w:t xml:space="preserve">Betrachtet man Hoffmanns Biographie, so sind wiederkehrende Lebensthemen feststellbar, die auch im Rahmen der Werke aufgegriffen werden und dort eine zentrale Rolle einnehmen. </w:t>
      </w:r>
    </w:p>
    <w:p w:rsidR="00CC7E9E" w:rsidRDefault="00CC7E9E" w:rsidP="00A2535F">
      <w:pPr>
        <w:spacing w:after="0" w:line="240" w:lineRule="auto"/>
        <w:jc w:val="both"/>
      </w:pPr>
      <w:r>
        <w:t>Um den Schülerinnen und Schüler einen entsprechenden Einblick zu gewähren, bietet sich ein etwa zehnminütiger Lehrervortrag an, der über folgende Aspekte informiert:</w:t>
      </w:r>
    </w:p>
    <w:p w:rsidR="00CC7E9E" w:rsidRDefault="00CC7E9E" w:rsidP="00A2535F">
      <w:pPr>
        <w:spacing w:after="0" w:line="240" w:lineRule="auto"/>
        <w:jc w:val="both"/>
      </w:pPr>
    </w:p>
    <w:p w:rsidR="00CC7E9E" w:rsidRPr="00CC7E9E" w:rsidRDefault="00D11EB1" w:rsidP="00CC7E9E">
      <w:pPr>
        <w:pStyle w:val="Listenabsatz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Duplizität/</w:t>
      </w:r>
      <w:r w:rsidR="00CC7E9E" w:rsidRPr="00CC7E9E">
        <w:rPr>
          <w:sz w:val="24"/>
          <w:szCs w:val="24"/>
        </w:rPr>
        <w:t>Doppelte Existenz – zerrissene Existenz [Bürgerliches Dasein, ohne das Bürgerliche verinnerlicht zu haben, Künstlerisches Schaffen, ohne sich darin völlig zu verlieren, vs. Figur des Johannes Kreisler]</w:t>
      </w:r>
      <w:r w:rsidR="00FE3CBF">
        <w:rPr>
          <w:sz w:val="24"/>
          <w:szCs w:val="24"/>
        </w:rPr>
        <w:t>, vgl. hierzu auch die Materialien zu „Doppelexistenzen und Parallelwelten“</w:t>
      </w:r>
      <w:bookmarkStart w:id="0" w:name="_GoBack"/>
      <w:bookmarkEnd w:id="0"/>
      <w:r w:rsidR="00FE3CBF" w:rsidRPr="00FE3CBF">
        <w:t>.</w:t>
      </w:r>
    </w:p>
    <w:p w:rsidR="00CC7E9E" w:rsidRPr="00CC7E9E" w:rsidRDefault="00CC7E9E" w:rsidP="00CC7E9E">
      <w:pPr>
        <w:pStyle w:val="Listenabsatz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C7E9E">
        <w:rPr>
          <w:sz w:val="24"/>
          <w:szCs w:val="24"/>
        </w:rPr>
        <w:t>Künstlerische und andere Selbstzweifel</w:t>
      </w:r>
    </w:p>
    <w:p w:rsidR="00CC7E9E" w:rsidRPr="00CC7E9E" w:rsidRDefault="00CC7E9E" w:rsidP="00CC7E9E">
      <w:pPr>
        <w:pStyle w:val="Listenabsatz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C7E9E">
        <w:rPr>
          <w:sz w:val="24"/>
          <w:szCs w:val="24"/>
        </w:rPr>
        <w:t>Angst vor dem Wahnsinn</w:t>
      </w:r>
    </w:p>
    <w:p w:rsidR="00CC7E9E" w:rsidRPr="00CC7E9E" w:rsidRDefault="00CC7E9E" w:rsidP="00CC7E9E">
      <w:pPr>
        <w:pStyle w:val="Listenabsatz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C7E9E">
        <w:rPr>
          <w:sz w:val="24"/>
          <w:szCs w:val="24"/>
        </w:rPr>
        <w:t>Das Wunderbare und Geheimnisvolle</w:t>
      </w:r>
      <w:r w:rsidR="00FE3CBF">
        <w:rPr>
          <w:sz w:val="24"/>
          <w:szCs w:val="24"/>
        </w:rPr>
        <w:t>; das Phantastische</w:t>
      </w:r>
    </w:p>
    <w:p w:rsidR="00CC7E9E" w:rsidRDefault="00CC7E9E" w:rsidP="00A2535F">
      <w:pPr>
        <w:spacing w:after="0" w:line="240" w:lineRule="auto"/>
        <w:jc w:val="both"/>
      </w:pPr>
    </w:p>
    <w:p w:rsidR="000B7CE6" w:rsidRDefault="000B7CE6" w:rsidP="00A2535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A366BF" w:rsidRDefault="00D11EB1">
      <w:r>
        <w:t>Bei leistungsstarken Gruppen könnte man diese Aspekte auch mit geeigneten Materialien im Rahmen des Lernzirkels erarbeiten lassen.</w:t>
      </w:r>
    </w:p>
    <w:p w:rsidR="00A366BF" w:rsidRDefault="00A366BF"/>
    <w:p w:rsidR="00A366BF" w:rsidRDefault="00A366BF"/>
    <w:p w:rsidR="00A366BF" w:rsidRDefault="00A366BF">
      <w:r>
        <w:t xml:space="preserve">Für einen umfassenden </w:t>
      </w:r>
      <w:r w:rsidR="008D2D58">
        <w:t xml:space="preserve">Einblick in </w:t>
      </w:r>
      <w:r>
        <w:t xml:space="preserve">Hoffmanns Biographie sei als Lektüre empfohlen: </w:t>
      </w:r>
    </w:p>
    <w:p w:rsidR="00A366BF" w:rsidRDefault="00A366BF">
      <w:r>
        <w:t>Rüdiger Safranski, E.T.A. Hoffmann. Das Leben eines skeptischen Phantasten, Frankfurt am Main 20</w:t>
      </w:r>
      <w:r w:rsidR="00D11EB1">
        <w:t>14</w:t>
      </w:r>
      <w:r>
        <w:t xml:space="preserve"> [erstmals München 1984]  </w:t>
      </w:r>
    </w:p>
    <w:p w:rsidR="008D2D58" w:rsidRDefault="008D2D58">
      <w:r>
        <w:t xml:space="preserve">Eine detaillierte Zeittafel erleichtert die Orientierung bei der Vorbereitung: </w:t>
      </w:r>
      <w:hyperlink r:id="rId14" w:history="1">
        <w:r w:rsidRPr="008359B1">
          <w:rPr>
            <w:rStyle w:val="Hyperlink"/>
          </w:rPr>
          <w:t>http://www.etahg.de/wcms//library/php/func.download.php?file_id=5637&amp;page_id=2692</w:t>
        </w:r>
      </w:hyperlink>
    </w:p>
    <w:p w:rsidR="00FE3CBF" w:rsidRDefault="00FE3CBF"/>
    <w:p w:rsidR="00FE3CBF" w:rsidRDefault="00FE3CBF"/>
    <w:sectPr w:rsidR="00FE3CBF" w:rsidSect="00537F07">
      <w:headerReference w:type="default" r:id="rId15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97C" w:rsidRDefault="0074797C" w:rsidP="00466533">
      <w:pPr>
        <w:spacing w:after="0" w:line="240" w:lineRule="auto"/>
      </w:pPr>
      <w:r>
        <w:separator/>
      </w:r>
    </w:p>
  </w:endnote>
  <w:endnote w:type="continuationSeparator" w:id="0">
    <w:p w:rsidR="0074797C" w:rsidRDefault="0074797C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97C" w:rsidRDefault="0074797C" w:rsidP="00466533">
      <w:pPr>
        <w:spacing w:after="0" w:line="240" w:lineRule="auto"/>
      </w:pPr>
      <w:r>
        <w:separator/>
      </w:r>
    </w:p>
  </w:footnote>
  <w:footnote w:type="continuationSeparator" w:id="0">
    <w:p w:rsidR="0074797C" w:rsidRDefault="0074797C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9F74C1" w:rsidTr="009F74C1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9F74C1" w:rsidRDefault="009F74C1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9F74C1" w:rsidRPr="00D93FF2" w:rsidRDefault="009F74C1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9F74C1" w:rsidRDefault="009F74C1" w:rsidP="00466533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E.T.A. Hoffmann – Der </w:t>
              </w:r>
              <w:proofErr w:type="spellStart"/>
              <w:r>
                <w:rPr>
                  <w:rFonts w:cstheme="minorHAnsi"/>
                  <w:color w:val="FFFFFF"/>
                </w:rPr>
                <w:t>goldne</w:t>
              </w:r>
              <w:proofErr w:type="spellEnd"/>
              <w:r>
                <w:rPr>
                  <w:rFonts w:cstheme="minorHAnsi"/>
                  <w:color w:val="FFFFFF"/>
                </w:rPr>
                <w:t xml:space="preserve"> Topf  </w:t>
              </w:r>
            </w:p>
          </w:tc>
        </w:sdtContent>
      </w:sdt>
    </w:tr>
    <w:tr w:rsidR="009F74C1" w:rsidTr="009F74C1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67D10B0F13C4498A960EAD78096B14E5"/>
            </w:placeholder>
            <w:text/>
          </w:sdtPr>
          <w:sdtEndPr/>
          <w:sdtContent>
            <w:p w:rsidR="009F74C1" w:rsidRDefault="009F74C1" w:rsidP="00E16286">
              <w:r>
                <w:t>Lern</w:t>
              </w:r>
              <w:r w:rsidR="00E16286">
                <w:t>stationen</w:t>
              </w:r>
              <w:r>
                <w:t xml:space="preserve"> zur Biographie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:rsidR="009F74C1" w:rsidRDefault="009F74C1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:rsidR="009F74C1" w:rsidRDefault="000E73C4" w:rsidP="00755FC4">
          <w:pPr>
            <w:pStyle w:val="Kopfzeile"/>
            <w:jc w:val="right"/>
          </w:pPr>
          <w:r>
            <w:t>Hinweise für Lehrkräfte</w:t>
          </w:r>
        </w:p>
      </w:tc>
    </w:tr>
  </w:tbl>
  <w:p w:rsidR="009F74C1" w:rsidRDefault="009F74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C49"/>
    <w:multiLevelType w:val="hybridMultilevel"/>
    <w:tmpl w:val="C7467E00"/>
    <w:lvl w:ilvl="0" w:tplc="129A0E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01D8"/>
    <w:multiLevelType w:val="hybridMultilevel"/>
    <w:tmpl w:val="BBD2F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4701"/>
    <w:multiLevelType w:val="hybridMultilevel"/>
    <w:tmpl w:val="534C12C8"/>
    <w:lvl w:ilvl="0" w:tplc="129A0E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2CA"/>
    <w:rsid w:val="000B7CE6"/>
    <w:rsid w:val="000D590A"/>
    <w:rsid w:val="000E4834"/>
    <w:rsid w:val="000E73C4"/>
    <w:rsid w:val="00102A6B"/>
    <w:rsid w:val="001A28A7"/>
    <w:rsid w:val="001C75E2"/>
    <w:rsid w:val="00210E3E"/>
    <w:rsid w:val="00265F3B"/>
    <w:rsid w:val="002A30B2"/>
    <w:rsid w:val="002D227C"/>
    <w:rsid w:val="002E4F72"/>
    <w:rsid w:val="003074B4"/>
    <w:rsid w:val="003372CA"/>
    <w:rsid w:val="00360AD8"/>
    <w:rsid w:val="00364102"/>
    <w:rsid w:val="003914A8"/>
    <w:rsid w:val="003979C0"/>
    <w:rsid w:val="003A4553"/>
    <w:rsid w:val="003D0C1C"/>
    <w:rsid w:val="00416075"/>
    <w:rsid w:val="00447FBC"/>
    <w:rsid w:val="0045490A"/>
    <w:rsid w:val="00466533"/>
    <w:rsid w:val="004A2FAB"/>
    <w:rsid w:val="004B7E53"/>
    <w:rsid w:val="005014A4"/>
    <w:rsid w:val="005030CE"/>
    <w:rsid w:val="0051016D"/>
    <w:rsid w:val="0052082E"/>
    <w:rsid w:val="00530B6C"/>
    <w:rsid w:val="00537F07"/>
    <w:rsid w:val="00540806"/>
    <w:rsid w:val="00540B8F"/>
    <w:rsid w:val="005776E0"/>
    <w:rsid w:val="005A3E48"/>
    <w:rsid w:val="005C062A"/>
    <w:rsid w:val="005D4EB5"/>
    <w:rsid w:val="00602438"/>
    <w:rsid w:val="0061055A"/>
    <w:rsid w:val="00656691"/>
    <w:rsid w:val="00737DC2"/>
    <w:rsid w:val="0074797C"/>
    <w:rsid w:val="00755FC4"/>
    <w:rsid w:val="00767D91"/>
    <w:rsid w:val="007F7F56"/>
    <w:rsid w:val="00804260"/>
    <w:rsid w:val="008145E1"/>
    <w:rsid w:val="00822F57"/>
    <w:rsid w:val="008237F9"/>
    <w:rsid w:val="008760D9"/>
    <w:rsid w:val="008820AA"/>
    <w:rsid w:val="008C2836"/>
    <w:rsid w:val="008D2D58"/>
    <w:rsid w:val="008E715B"/>
    <w:rsid w:val="00927F52"/>
    <w:rsid w:val="009342BE"/>
    <w:rsid w:val="00946C72"/>
    <w:rsid w:val="0095169E"/>
    <w:rsid w:val="009D1D17"/>
    <w:rsid w:val="009E54CA"/>
    <w:rsid w:val="009E59D3"/>
    <w:rsid w:val="009F74C1"/>
    <w:rsid w:val="00A2535F"/>
    <w:rsid w:val="00A366BF"/>
    <w:rsid w:val="00A52B44"/>
    <w:rsid w:val="00A67756"/>
    <w:rsid w:val="00A74164"/>
    <w:rsid w:val="00AB7515"/>
    <w:rsid w:val="00AD5650"/>
    <w:rsid w:val="00AF5321"/>
    <w:rsid w:val="00B63CEB"/>
    <w:rsid w:val="00B8446F"/>
    <w:rsid w:val="00B87CFC"/>
    <w:rsid w:val="00BA34B7"/>
    <w:rsid w:val="00BA5949"/>
    <w:rsid w:val="00BE05FE"/>
    <w:rsid w:val="00BF7BDC"/>
    <w:rsid w:val="00C11F52"/>
    <w:rsid w:val="00C54AA9"/>
    <w:rsid w:val="00C73F6D"/>
    <w:rsid w:val="00CC7E9E"/>
    <w:rsid w:val="00D027B3"/>
    <w:rsid w:val="00D11EB1"/>
    <w:rsid w:val="00D51C23"/>
    <w:rsid w:val="00D636D3"/>
    <w:rsid w:val="00E101E1"/>
    <w:rsid w:val="00E16286"/>
    <w:rsid w:val="00E412BA"/>
    <w:rsid w:val="00E74C50"/>
    <w:rsid w:val="00EF4874"/>
    <w:rsid w:val="00F04FAD"/>
    <w:rsid w:val="00F15196"/>
    <w:rsid w:val="00F67EF1"/>
    <w:rsid w:val="00F73B7D"/>
    <w:rsid w:val="00F82B40"/>
    <w:rsid w:val="00F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5696C6-EE62-4726-8E3A-D2C41359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2F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715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535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2A6B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F04FAD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3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E._T._A._Hoffmann" TargetMode="External"/><Relationship Id="rId13" Type="http://schemas.openxmlformats.org/officeDocument/2006/relationships/hyperlink" Target="http://www.etahg.de/de/der_mehrfachkuenstl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tahg.de/d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utenberg.spiegel.de/autor/eta-hoffmann-15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methodenpool.uni-koeln.de/download/wandzeitun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hrerfortbildung-bw.de/u_sprachlit/deutsch/bs/projekte/epik/sandmann/05_epoche/index.html" TargetMode="External"/><Relationship Id="rId14" Type="http://schemas.openxmlformats.org/officeDocument/2006/relationships/hyperlink" Target="http://www.etahg.de/wcms//library/php/func.download.php?file_id=5637&amp;page_id=269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4A70C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4A70C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CEF"/>
    <w:rsid w:val="00003D4F"/>
    <w:rsid w:val="001A0C88"/>
    <w:rsid w:val="002B1AED"/>
    <w:rsid w:val="004A70CE"/>
    <w:rsid w:val="004D5623"/>
    <w:rsid w:val="004F783A"/>
    <w:rsid w:val="006D1777"/>
    <w:rsid w:val="008C5EBA"/>
    <w:rsid w:val="00A870A8"/>
    <w:rsid w:val="00AD61BF"/>
    <w:rsid w:val="00AD6579"/>
    <w:rsid w:val="00E7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70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09C9D-4138-4DD1-A581-A3AB32EC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6042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sarah.bauder@gmx.de</dc:creator>
  <cp:lastModifiedBy>Michael Kazenwadel</cp:lastModifiedBy>
  <cp:revision>30</cp:revision>
  <dcterms:created xsi:type="dcterms:W3CDTF">2018-06-11T18:21:00Z</dcterms:created>
  <dcterms:modified xsi:type="dcterms:W3CDTF">2018-08-07T14:52:00Z</dcterms:modified>
</cp:coreProperties>
</file>