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D80" w:rsidRDefault="00BD2DE5" w:rsidP="00487FC8">
      <w:r w:rsidRPr="00BD2DE5">
        <w:rPr>
          <w:bCs/>
        </w:rPr>
        <w:t>Das Unheimliche</w:t>
      </w:r>
      <w:r>
        <w:t xml:space="preserve"> beunruhigt den Menschen als verstörende </w:t>
      </w:r>
      <w:r w:rsidRPr="00BD2DE5">
        <w:t>Irritation</w:t>
      </w:r>
      <w:r>
        <w:t xml:space="preserve"> oft in alltäglichen Situationen und versetzt ihn in Angst und Schrecken. In diesem Arbeitsblatt setzen Sie sich mit Erscheinungsformen des Unheimlichen auseinander und untersuchen, durch welche Mechanismen das Unheimliche seine Wirkung entfaltet.</w:t>
      </w:r>
    </w:p>
    <w:p w:rsidR="00F56D80" w:rsidRDefault="00F56D80" w:rsidP="00487FC8"/>
    <w:p w:rsidR="00BD2DE5" w:rsidRPr="008C7A73" w:rsidRDefault="00BD2DE5" w:rsidP="00487FC8">
      <w:pPr>
        <w:rPr>
          <w:b/>
        </w:rPr>
      </w:pPr>
    </w:p>
    <w:p w:rsidR="00F56D80" w:rsidRPr="008C7A73" w:rsidRDefault="00F56D80" w:rsidP="00F56D80">
      <w:pPr>
        <w:rPr>
          <w:b/>
        </w:rPr>
      </w:pPr>
      <w:r w:rsidRPr="008C7A73">
        <w:rPr>
          <w:b/>
        </w:rPr>
        <w:t>Arbeitsaufgabe:</w:t>
      </w:r>
    </w:p>
    <w:p w:rsidR="00754A1D" w:rsidRDefault="00754A1D" w:rsidP="00F56D80"/>
    <w:p w:rsidR="00F56D80" w:rsidRDefault="00F56D80" w:rsidP="00BD6E05">
      <w:pPr>
        <w:pStyle w:val="Listenabsatz"/>
        <w:numPr>
          <w:ilvl w:val="0"/>
          <w:numId w:val="4"/>
        </w:numPr>
      </w:pPr>
      <w:r>
        <w:t>Schauen Sie sich das Video ist unter folgendem Link an:</w:t>
      </w:r>
    </w:p>
    <w:p w:rsidR="00F56D80" w:rsidRDefault="00681778" w:rsidP="00BD6E05">
      <w:pPr>
        <w:ind w:left="360"/>
      </w:pPr>
      <w:hyperlink r:id="rId7" w:history="1">
        <w:r w:rsidR="00F56D80" w:rsidRPr="00150AE4">
          <w:rPr>
            <w:rStyle w:val="Hyperlink"/>
          </w:rPr>
          <w:t>http://www.youtube.com/watch?v=CF4cTbq5-OU</w:t>
        </w:r>
      </w:hyperlink>
    </w:p>
    <w:p w:rsidR="00F56D80" w:rsidRDefault="00F56D80" w:rsidP="00F56D80"/>
    <w:p w:rsidR="00DA290B" w:rsidRDefault="00DA290B" w:rsidP="00487FC8"/>
    <w:p w:rsidR="009222EB" w:rsidRDefault="00F56D80" w:rsidP="00BD6E05">
      <w:pPr>
        <w:pStyle w:val="Listenabsatz"/>
        <w:numPr>
          <w:ilvl w:val="0"/>
          <w:numId w:val="4"/>
        </w:numPr>
      </w:pPr>
      <w:r>
        <w:t>A</w:t>
      </w:r>
      <w:r w:rsidR="009222EB">
        <w:t>nalysieren das Video „Augen auf“ und erläutern</w:t>
      </w:r>
      <w:r>
        <w:t xml:space="preserve"> Sie</w:t>
      </w:r>
      <w:r w:rsidR="009222EB">
        <w:t>, was im Dargestellten unheimlich ist und weshalb eine „unheimliche“ Wirkung erzielt wird.</w:t>
      </w:r>
    </w:p>
    <w:p w:rsidR="00743759" w:rsidRDefault="00743759" w:rsidP="009222EB"/>
    <w:p w:rsidR="00F14FC8" w:rsidRDefault="00F14FC8" w:rsidP="009222EB"/>
    <w:p w:rsidR="00743759" w:rsidRDefault="00F56D80" w:rsidP="009222EB">
      <w:r>
        <w:t xml:space="preserve">Die nachfolgende Tabelle </w:t>
      </w:r>
      <w:r w:rsidR="008C7A73">
        <w:t>hilft</w:t>
      </w:r>
      <w:r>
        <w:t xml:space="preserve"> Ihnen einen Einstieg in Ihre Arbeit</w:t>
      </w:r>
      <w:r w:rsidR="008C7A73">
        <w:t xml:space="preserve"> zu finden</w:t>
      </w:r>
      <w:r>
        <w:t>.</w:t>
      </w:r>
    </w:p>
    <w:p w:rsidR="00F56D80" w:rsidRDefault="00F56D80" w:rsidP="00487FC8"/>
    <w:p w:rsidR="00F14FC8" w:rsidRDefault="00F14FC8" w:rsidP="00487FC8"/>
    <w:tbl>
      <w:tblPr>
        <w:tblW w:w="0" w:type="auto"/>
        <w:tblBorders>
          <w:insideH w:val="single" w:sz="4" w:space="0" w:color="auto"/>
          <w:insideV w:val="single" w:sz="4" w:space="0" w:color="auto"/>
        </w:tblBorders>
        <w:tblLook w:val="04A0" w:firstRow="1" w:lastRow="0" w:firstColumn="1" w:lastColumn="0" w:noHBand="0" w:noVBand="1"/>
      </w:tblPr>
      <w:tblGrid>
        <w:gridCol w:w="1370"/>
        <w:gridCol w:w="2094"/>
        <w:gridCol w:w="3083"/>
        <w:gridCol w:w="3091"/>
      </w:tblGrid>
      <w:tr w:rsidR="002D3A16" w:rsidTr="006A2BCE">
        <w:tc>
          <w:tcPr>
            <w:tcW w:w="1384" w:type="dxa"/>
          </w:tcPr>
          <w:p w:rsidR="002D3A16" w:rsidRDefault="00DE57FF" w:rsidP="00487FC8">
            <w:r>
              <w:t>Laufzeit</w:t>
            </w:r>
          </w:p>
        </w:tc>
        <w:tc>
          <w:tcPr>
            <w:tcW w:w="2126" w:type="dxa"/>
          </w:tcPr>
          <w:p w:rsidR="002D3A16" w:rsidRDefault="00DE57FF" w:rsidP="00487FC8">
            <w:r>
              <w:t>Element</w:t>
            </w:r>
          </w:p>
        </w:tc>
        <w:tc>
          <w:tcPr>
            <w:tcW w:w="3134" w:type="dxa"/>
          </w:tcPr>
          <w:p w:rsidR="002D3A16" w:rsidRDefault="006A0836" w:rsidP="00487FC8">
            <w:r>
              <w:t>Wie wird</w:t>
            </w:r>
            <w:r w:rsidR="00DE57FF">
              <w:t xml:space="preserve"> das Unheimliche</w:t>
            </w:r>
            <w:r>
              <w:t xml:space="preserve"> dargestellt</w:t>
            </w:r>
            <w:r w:rsidR="00DE57FF">
              <w:t>?</w:t>
            </w:r>
          </w:p>
        </w:tc>
        <w:tc>
          <w:tcPr>
            <w:tcW w:w="3134" w:type="dxa"/>
          </w:tcPr>
          <w:p w:rsidR="002D3A16" w:rsidRDefault="00DE57FF" w:rsidP="00DE57FF">
            <w:r>
              <w:t xml:space="preserve">Wie wirkt das Unheimliche? </w:t>
            </w:r>
          </w:p>
        </w:tc>
      </w:tr>
      <w:tr w:rsidR="002D3A16" w:rsidTr="006A2BCE">
        <w:tc>
          <w:tcPr>
            <w:tcW w:w="1384" w:type="dxa"/>
          </w:tcPr>
          <w:p w:rsidR="002D3A16" w:rsidRDefault="006A0836" w:rsidP="00487FC8">
            <w:r>
              <w:t>0:06-0:09</w:t>
            </w:r>
          </w:p>
        </w:tc>
        <w:tc>
          <w:tcPr>
            <w:tcW w:w="2126" w:type="dxa"/>
          </w:tcPr>
          <w:p w:rsidR="002D3A16" w:rsidRDefault="006A0836" w:rsidP="00487FC8">
            <w:r>
              <w:t>Figur</w:t>
            </w:r>
          </w:p>
        </w:tc>
        <w:tc>
          <w:tcPr>
            <w:tcW w:w="3134" w:type="dxa"/>
          </w:tcPr>
          <w:p w:rsidR="006A0836" w:rsidRDefault="006A0836" w:rsidP="00313DE6">
            <w:r>
              <w:t>Zwei Kinder laufen</w:t>
            </w:r>
            <w:r w:rsidR="00313DE6">
              <w:t xml:space="preserve"> (auf die Kamera zu)</w:t>
            </w:r>
            <w:r>
              <w:t xml:space="preserve"> einen herbstlich</w:t>
            </w:r>
            <w:r w:rsidR="00313DE6">
              <w:t xml:space="preserve">en Weg entlang. Das Mädchen schaut sich um. – Schnitt - </w:t>
            </w:r>
            <w:r>
              <w:t>Die Kamera zeigt eine Nahaufnahme eines stehenden Oberkörpers unter einer Plane</w:t>
            </w:r>
            <w:r w:rsidR="00313DE6">
              <w:t>, die Plane über dem Gesicht bewegt sich.</w:t>
            </w:r>
          </w:p>
        </w:tc>
        <w:tc>
          <w:tcPr>
            <w:tcW w:w="3134" w:type="dxa"/>
          </w:tcPr>
          <w:p w:rsidR="002D3A16" w:rsidRDefault="00313DE6" w:rsidP="00487FC8">
            <w:r>
              <w:t>Der Schnitt deutet einen Zusammenhang zwischen beiden Spielszenen an. Vermutlich dreht sich das Mädchen wegen der – vermutlich – erwachenden Figur um. Das Mädchen scheint zu spüren, dass etwas nicht stimmt, sie vielleicht verfolgt werden.</w:t>
            </w:r>
          </w:p>
        </w:tc>
      </w:tr>
      <w:tr w:rsidR="002D3A16" w:rsidTr="006A2BCE">
        <w:tc>
          <w:tcPr>
            <w:tcW w:w="1384" w:type="dxa"/>
          </w:tcPr>
          <w:p w:rsidR="002D3A16" w:rsidRDefault="0060183B" w:rsidP="0060183B">
            <w:r>
              <w:t>0:14–0:16</w:t>
            </w:r>
          </w:p>
        </w:tc>
        <w:tc>
          <w:tcPr>
            <w:tcW w:w="2126" w:type="dxa"/>
          </w:tcPr>
          <w:p w:rsidR="002D3A16" w:rsidRDefault="00313DE6" w:rsidP="00487FC8">
            <w:r>
              <w:t>Gesicht des Mädchens</w:t>
            </w:r>
          </w:p>
        </w:tc>
        <w:tc>
          <w:tcPr>
            <w:tcW w:w="3134" w:type="dxa"/>
          </w:tcPr>
          <w:p w:rsidR="002D3A16" w:rsidRDefault="00313DE6" w:rsidP="00487FC8">
            <w:r>
              <w:t>Die Kinder sind jetzt an der Kamera vorbei, das Mädchen schaut sich um, die Augen werden plötzlich blutunterlaufen.</w:t>
            </w:r>
          </w:p>
        </w:tc>
        <w:tc>
          <w:tcPr>
            <w:tcW w:w="3134" w:type="dxa"/>
          </w:tcPr>
          <w:p w:rsidR="002D3A16" w:rsidRDefault="009F3591" w:rsidP="00487FC8">
            <w:r>
              <w:t>Das Mädchen schaut in die Kamera, also den Betrachter an, und wirkt keineswegs verängstigt. Die blutunterlaufenen Augen des Mädchens deuten an, dass eventuell auch in diesem etwas Böses schlummert.</w:t>
            </w:r>
          </w:p>
        </w:tc>
      </w:tr>
      <w:tr w:rsidR="002D3A16" w:rsidTr="006A2BCE">
        <w:tc>
          <w:tcPr>
            <w:tcW w:w="1384" w:type="dxa"/>
          </w:tcPr>
          <w:p w:rsidR="002D3A16" w:rsidRDefault="002D3A16" w:rsidP="00487FC8"/>
        </w:tc>
        <w:tc>
          <w:tcPr>
            <w:tcW w:w="2126" w:type="dxa"/>
          </w:tcPr>
          <w:p w:rsidR="002D3A16" w:rsidRDefault="002D3A16" w:rsidP="00487FC8"/>
        </w:tc>
        <w:tc>
          <w:tcPr>
            <w:tcW w:w="3134" w:type="dxa"/>
          </w:tcPr>
          <w:p w:rsidR="002D3A16" w:rsidRDefault="002D3A16" w:rsidP="00487FC8"/>
        </w:tc>
        <w:tc>
          <w:tcPr>
            <w:tcW w:w="3134" w:type="dxa"/>
          </w:tcPr>
          <w:p w:rsidR="002D3A16" w:rsidRDefault="002D3A16" w:rsidP="00487FC8"/>
        </w:tc>
      </w:tr>
      <w:tr w:rsidR="002D3A16" w:rsidTr="006A2BCE">
        <w:tc>
          <w:tcPr>
            <w:tcW w:w="1384" w:type="dxa"/>
          </w:tcPr>
          <w:p w:rsidR="002D3A16" w:rsidRDefault="002D3A16" w:rsidP="00487FC8"/>
        </w:tc>
        <w:tc>
          <w:tcPr>
            <w:tcW w:w="2126" w:type="dxa"/>
          </w:tcPr>
          <w:p w:rsidR="002D3A16" w:rsidRDefault="002D3A16" w:rsidP="00487FC8"/>
        </w:tc>
        <w:tc>
          <w:tcPr>
            <w:tcW w:w="3134" w:type="dxa"/>
          </w:tcPr>
          <w:p w:rsidR="002D3A16" w:rsidRDefault="002D3A16" w:rsidP="00487FC8"/>
        </w:tc>
        <w:tc>
          <w:tcPr>
            <w:tcW w:w="3134" w:type="dxa"/>
          </w:tcPr>
          <w:p w:rsidR="002D3A16" w:rsidRDefault="002D3A16" w:rsidP="00487FC8"/>
        </w:tc>
      </w:tr>
      <w:tr w:rsidR="002D3A16" w:rsidTr="006A2BCE">
        <w:tc>
          <w:tcPr>
            <w:tcW w:w="1384" w:type="dxa"/>
          </w:tcPr>
          <w:p w:rsidR="002D3A16" w:rsidRDefault="002D3A16" w:rsidP="00487FC8"/>
        </w:tc>
        <w:tc>
          <w:tcPr>
            <w:tcW w:w="2126" w:type="dxa"/>
          </w:tcPr>
          <w:p w:rsidR="002D3A16" w:rsidRDefault="002D3A16" w:rsidP="00487FC8"/>
        </w:tc>
        <w:tc>
          <w:tcPr>
            <w:tcW w:w="3134" w:type="dxa"/>
          </w:tcPr>
          <w:p w:rsidR="002D3A16" w:rsidRDefault="002D3A16" w:rsidP="00487FC8"/>
        </w:tc>
        <w:tc>
          <w:tcPr>
            <w:tcW w:w="3134" w:type="dxa"/>
          </w:tcPr>
          <w:p w:rsidR="002D3A16" w:rsidRDefault="002D3A16" w:rsidP="00487FC8"/>
        </w:tc>
      </w:tr>
      <w:tr w:rsidR="002D3A16" w:rsidTr="006A2BCE">
        <w:tc>
          <w:tcPr>
            <w:tcW w:w="1384" w:type="dxa"/>
          </w:tcPr>
          <w:p w:rsidR="002D3A16" w:rsidRDefault="002D3A16" w:rsidP="00487FC8"/>
        </w:tc>
        <w:tc>
          <w:tcPr>
            <w:tcW w:w="2126" w:type="dxa"/>
          </w:tcPr>
          <w:p w:rsidR="002D3A16" w:rsidRDefault="002D3A16" w:rsidP="00487FC8"/>
        </w:tc>
        <w:tc>
          <w:tcPr>
            <w:tcW w:w="3134" w:type="dxa"/>
          </w:tcPr>
          <w:p w:rsidR="002D3A16" w:rsidRDefault="002D3A16" w:rsidP="00487FC8"/>
        </w:tc>
        <w:tc>
          <w:tcPr>
            <w:tcW w:w="3134" w:type="dxa"/>
          </w:tcPr>
          <w:p w:rsidR="002D3A16" w:rsidRDefault="002D3A16" w:rsidP="00487FC8"/>
        </w:tc>
      </w:tr>
    </w:tbl>
    <w:p w:rsidR="00DA290B" w:rsidRDefault="00DA290B" w:rsidP="00487FC8"/>
    <w:p w:rsidR="00DA290B" w:rsidRDefault="00DA290B" w:rsidP="00487FC8"/>
    <w:p w:rsidR="00424E04" w:rsidRDefault="001308CC" w:rsidP="00487FC8">
      <w:r>
        <w:lastRenderedPageBreak/>
        <w:t>E.T.A. Hoffmann</w:t>
      </w:r>
      <w:r w:rsidR="004D412B">
        <w:t xml:space="preserve"> schreibt im goldnen Topf wie auch schon im Sandmann in sehr schaurigem, teils gespenstischen Stil. „Gespenster“-Hoffmann, wie er auch genannt wurde, </w:t>
      </w:r>
      <w:r w:rsidR="00816096">
        <w:t xml:space="preserve">hat typisch schaurige und gruselige Elemente eingebaut. </w:t>
      </w:r>
    </w:p>
    <w:p w:rsidR="00067090" w:rsidRDefault="00067090" w:rsidP="00487FC8"/>
    <w:p w:rsidR="00401BB2" w:rsidRDefault="00816096" w:rsidP="00487FC8">
      <w:pPr>
        <w:pStyle w:val="Listenabsatz"/>
        <w:numPr>
          <w:ilvl w:val="0"/>
          <w:numId w:val="4"/>
        </w:numPr>
      </w:pPr>
      <w:r>
        <w:t xml:space="preserve">Spüren Sie diesen Elementen in der </w:t>
      </w:r>
      <w:r w:rsidR="008926F3">
        <w:t>siebenten Vigilie nach</w:t>
      </w:r>
      <w:r w:rsidR="00424E04">
        <w:t xml:space="preserve">, vor allem auf Seite 56 Zeile 2 bis Seite 60 Zeile 26. </w:t>
      </w:r>
    </w:p>
    <w:p w:rsidR="00F01FA1" w:rsidRDefault="00F01FA1" w:rsidP="00F01FA1">
      <w:pPr>
        <w:pStyle w:val="Listenabsatz"/>
        <w:ind w:left="360"/>
      </w:pPr>
      <w:bookmarkStart w:id="0" w:name="_GoBack"/>
      <w:bookmarkEnd w:id="0"/>
    </w:p>
    <w:p w:rsidR="00401BB2" w:rsidRDefault="00401BB2" w:rsidP="000B19D2">
      <w:pPr>
        <w:pStyle w:val="Listenabsatz"/>
        <w:numPr>
          <w:ilvl w:val="0"/>
          <w:numId w:val="4"/>
        </w:numPr>
      </w:pPr>
      <w:r>
        <w:t xml:space="preserve">Lesen Sie nun den Text von Lothar </w:t>
      </w:r>
      <w:proofErr w:type="spellStart"/>
      <w:r>
        <w:t>Pikulik</w:t>
      </w:r>
      <w:proofErr w:type="spellEnd"/>
      <w:r>
        <w:t xml:space="preserve"> und arbeiten sie heraus, wie er bei Hoffmann das Thema „Nacht“ darstellt und ergänzen sie ihre </w:t>
      </w:r>
      <w:r w:rsidR="00EF6444">
        <w:t xml:space="preserve">Notizen aus Aufgabe 1. </w:t>
      </w:r>
      <w:r w:rsidR="00007D28">
        <w:t xml:space="preserve">Der Textausschnitt beginnt bei </w:t>
      </w:r>
      <w:r w:rsidR="00007D28" w:rsidRPr="004D0960">
        <w:rPr>
          <w:i/>
        </w:rPr>
        <w:t xml:space="preserve">„Was Hoffmann hier mit Worten malt </w:t>
      </w:r>
      <w:r w:rsidR="00E55EEF">
        <w:rPr>
          <w:i/>
        </w:rPr>
        <w:t>[</w:t>
      </w:r>
      <w:r w:rsidR="00F967D4" w:rsidRPr="004D0960">
        <w:rPr>
          <w:i/>
        </w:rPr>
        <w:t>…</w:t>
      </w:r>
      <w:r w:rsidR="00E55EEF">
        <w:rPr>
          <w:i/>
        </w:rPr>
        <w:t>]</w:t>
      </w:r>
      <w:r w:rsidR="00F967D4" w:rsidRPr="004D0960">
        <w:rPr>
          <w:i/>
        </w:rPr>
        <w:t>“</w:t>
      </w:r>
      <w:r w:rsidR="00F967D4">
        <w:t xml:space="preserve"> und endet bei </w:t>
      </w:r>
      <w:r w:rsidR="00F967D4" w:rsidRPr="004D0960">
        <w:rPr>
          <w:i/>
        </w:rPr>
        <w:t>„</w:t>
      </w:r>
      <w:r w:rsidR="00E55EEF">
        <w:rPr>
          <w:i/>
        </w:rPr>
        <w:t>[</w:t>
      </w:r>
      <w:r w:rsidR="00F967D4" w:rsidRPr="004D0960">
        <w:rPr>
          <w:i/>
        </w:rPr>
        <w:t>…</w:t>
      </w:r>
      <w:r w:rsidR="00E55EEF">
        <w:rPr>
          <w:i/>
        </w:rPr>
        <w:t xml:space="preserve">] </w:t>
      </w:r>
      <w:r w:rsidR="00F967D4" w:rsidRPr="004D0960">
        <w:rPr>
          <w:i/>
        </w:rPr>
        <w:t>nicht zu erfassen die vermögen, die andere Seite.“</w:t>
      </w:r>
    </w:p>
    <w:p w:rsidR="00401BB2" w:rsidRDefault="00401BB2" w:rsidP="002630B2"/>
    <w:p w:rsidR="00401BB2" w:rsidRDefault="00681778" w:rsidP="0011300C">
      <w:pPr>
        <w:ind w:left="360"/>
      </w:pPr>
      <w:hyperlink r:id="rId8" w:anchor="v=onepage&amp;q=lothar%20pikulik%20nachtstücke&amp;f=true" w:history="1">
        <w:r w:rsidR="00523A2D" w:rsidRPr="00554D17">
          <w:rPr>
            <w:rStyle w:val="Hyperlink"/>
          </w:rPr>
          <w:t>https://books.google.de/books?id=f8_l7cliQnMC&amp;pg=PA152&amp;lpg=PA152&amp;dq=lothar+pikulik+nachtstücke&amp;source=bl&amp;ots=vkBcOAbR3y&amp;sig=_N5izezWstqWKk7w_krqlwedViI&amp;hl=de&amp;sa=X&amp;ved=2ahUKEwjA9obV4M3bAhWCDCwKHaEBAP4Q6AEwA3oECAIQAQ#v=onepage&amp;q=lothar%20pikulik%20nachtstücke&amp;f=true</w:t>
        </w:r>
      </w:hyperlink>
    </w:p>
    <w:p w:rsidR="00523A2D" w:rsidRDefault="00523A2D" w:rsidP="002630B2"/>
    <w:p w:rsidR="00313C29" w:rsidRDefault="00742913" w:rsidP="00634717">
      <w:pPr>
        <w:pStyle w:val="Listenabsatz"/>
        <w:numPr>
          <w:ilvl w:val="0"/>
          <w:numId w:val="4"/>
        </w:numPr>
      </w:pPr>
      <w:r>
        <w:t xml:space="preserve">Analysieren Sie in der </w:t>
      </w:r>
      <w:proofErr w:type="spellStart"/>
      <w:r>
        <w:t>Prezi</w:t>
      </w:r>
      <w:proofErr w:type="spellEnd"/>
      <w:r w:rsidR="00634717">
        <w:t xml:space="preserve">  </w:t>
      </w:r>
      <w:hyperlink r:id="rId9" w:history="1">
        <w:r w:rsidR="00634717" w:rsidRPr="00554D17">
          <w:rPr>
            <w:rStyle w:val="Hyperlink"/>
          </w:rPr>
          <w:t>https://prezi.com/dcaeas6nnfrg</w:t>
        </w:r>
      </w:hyperlink>
      <w:r w:rsidR="00634717">
        <w:t xml:space="preserve"> </w:t>
      </w:r>
      <w:r>
        <w:t xml:space="preserve"> was mit Schwarzer Romantik gemeint ist. Untersuchen Sie das Bild von </w:t>
      </w:r>
      <w:r w:rsidR="00313C29">
        <w:t>Rembrandt</w:t>
      </w:r>
      <w:r>
        <w:t xml:space="preserve"> „</w:t>
      </w:r>
      <w:r w:rsidR="00313C29">
        <w:t>Anbetung der Hirten</w:t>
      </w:r>
      <w:r>
        <w:t>“</w:t>
      </w:r>
      <w:r w:rsidR="00313C29">
        <w:t xml:space="preserve"> </w:t>
      </w:r>
      <w:r w:rsidR="006F5CB0">
        <w:t xml:space="preserve">auf Merkmale schwarzer Romantik und </w:t>
      </w:r>
      <w:r w:rsidR="00313C29">
        <w:t>vergleichen</w:t>
      </w:r>
      <w:r w:rsidR="0046566C">
        <w:t xml:space="preserve"> </w:t>
      </w:r>
      <w:r w:rsidR="007A4A67">
        <w:t xml:space="preserve">sie, wie Hoffman dies im Text aufgreift. </w:t>
      </w:r>
    </w:p>
    <w:p w:rsidR="00424E04" w:rsidRDefault="00424E04" w:rsidP="00487FC8"/>
    <w:sectPr w:rsidR="00424E04" w:rsidSect="00DF2EC1">
      <w:headerReference w:type="default" r:id="rId10"/>
      <w:footerReference w:type="even" r:id="rId11"/>
      <w:footerReference w:type="default" r:id="rId12"/>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778" w:rsidRPr="00165762" w:rsidRDefault="00681778" w:rsidP="00421FB9">
      <w:pPr>
        <w:rPr>
          <w:rFonts w:ascii="Times New Roman" w:hAnsi="Times New Roman"/>
          <w:sz w:val="20"/>
        </w:rPr>
      </w:pPr>
      <w:r>
        <w:separator/>
      </w:r>
    </w:p>
  </w:endnote>
  <w:endnote w:type="continuationSeparator" w:id="0">
    <w:p w:rsidR="00681778" w:rsidRPr="00165762" w:rsidRDefault="00681778" w:rsidP="00421FB9">
      <w:pPr>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EC1" w:rsidRDefault="00DF2EC1" w:rsidP="00C4574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F2EC1" w:rsidRDefault="00DF2E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EC1" w:rsidRDefault="00DF2EC1" w:rsidP="00C4574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B789F">
      <w:rPr>
        <w:rStyle w:val="Seitenzahl"/>
        <w:noProof/>
      </w:rPr>
      <w:t>1</w:t>
    </w:r>
    <w:r>
      <w:rPr>
        <w:rStyle w:val="Seitenzahl"/>
      </w:rPr>
      <w:fldChar w:fldCharType="end"/>
    </w:r>
  </w:p>
  <w:p w:rsidR="00DF2EC1" w:rsidRDefault="00DF2E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778" w:rsidRPr="00165762" w:rsidRDefault="00681778" w:rsidP="00421FB9">
      <w:pPr>
        <w:rPr>
          <w:rFonts w:ascii="Times New Roman" w:hAnsi="Times New Roman"/>
          <w:sz w:val="20"/>
        </w:rPr>
      </w:pPr>
      <w:r>
        <w:separator/>
      </w:r>
    </w:p>
  </w:footnote>
  <w:footnote w:type="continuationSeparator" w:id="0">
    <w:p w:rsidR="00681778" w:rsidRPr="00165762" w:rsidRDefault="00681778" w:rsidP="00421FB9">
      <w:pPr>
        <w:rPr>
          <w:rFonts w:ascii="Times New Roman" w:hAnsi="Times New Roman"/>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EC1" w:rsidRDefault="004A795E">
    <w:pPr>
      <w:pStyle w:val="Kopfzeile"/>
    </w:pPr>
    <w:r>
      <w:rPr>
        <w:noProof/>
        <w:lang w:eastAsia="de-DE"/>
      </w:rPr>
      <mc:AlternateContent>
        <mc:Choice Requires="wpg">
          <w:drawing>
            <wp:anchor distT="0" distB="0" distL="114300" distR="114300" simplePos="0" relativeHeight="251657728" behindDoc="0" locked="0" layoutInCell="1" allowOverlap="1">
              <wp:simplePos x="0" y="0"/>
              <wp:positionH relativeFrom="column">
                <wp:posOffset>-62230</wp:posOffset>
              </wp:positionH>
              <wp:positionV relativeFrom="paragraph">
                <wp:posOffset>20955</wp:posOffset>
              </wp:positionV>
              <wp:extent cx="6310630" cy="457200"/>
              <wp:effectExtent l="0" t="0" r="1270" b="0"/>
              <wp:wrapTight wrapText="bothSides">
                <wp:wrapPolygon edited="0">
                  <wp:start x="0" y="0"/>
                  <wp:lineTo x="0" y="21000"/>
                  <wp:lineTo x="21561" y="21000"/>
                  <wp:lineTo x="21561"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457200"/>
                        <a:chOff x="954" y="690"/>
                        <a:chExt cx="10311" cy="720"/>
                      </a:xfrm>
                    </wpg:grpSpPr>
                    <wps:wsp>
                      <wps:cNvPr id="2" name="Text Box 2"/>
                      <wps:cNvSpPr txBox="1">
                        <a:spLocks/>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EC1" w:rsidRDefault="004A795E" w:rsidP="00421FB9">
                            <w:pPr>
                              <w:rPr>
                                <w:rFonts w:cs="Arial"/>
                                <w:color w:val="FFFFFF"/>
                                <w:sz w:val="20"/>
                              </w:rPr>
                            </w:pPr>
                            <w:r w:rsidRPr="00D6653C">
                              <w:rPr>
                                <w:rFonts w:cs="Arial"/>
                                <w:noProof/>
                                <w:color w:val="FFFFFF"/>
                                <w:sz w:val="20"/>
                              </w:rPr>
                              <w:drawing>
                                <wp:inline distT="0" distB="0" distL="0" distR="0">
                                  <wp:extent cx="375285" cy="129540"/>
                                  <wp:effectExtent l="0" t="0" r="0"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 cy="129540"/>
                                          </a:xfrm>
                                          <a:prstGeom prst="rect">
                                            <a:avLst/>
                                          </a:prstGeom>
                                          <a:noFill/>
                                          <a:ln>
                                            <a:noFill/>
                                          </a:ln>
                                        </pic:spPr>
                                      </pic:pic>
                                    </a:graphicData>
                                  </a:graphic>
                                </wp:inline>
                              </w:drawing>
                            </w:r>
                            <w:r w:rsidR="00DF2EC1">
                              <w:rPr>
                                <w:rFonts w:cs="Arial"/>
                                <w:color w:val="FFFFFF"/>
                                <w:sz w:val="20"/>
                              </w:rPr>
                              <w:t xml:space="preserve">  Neue Medien im Deutschunterricht </w:t>
                            </w:r>
                            <w:r w:rsidR="00DF2EC1">
                              <w:rPr>
                                <w:rFonts w:cs="Arial"/>
                                <w:color w:val="FFFFFF"/>
                                <w:sz w:val="20"/>
                              </w:rPr>
                              <w:tab/>
                            </w:r>
                            <w:r w:rsidR="00DF2EC1">
                              <w:rPr>
                                <w:rFonts w:cs="Arial"/>
                                <w:color w:val="FFFFFF"/>
                                <w:sz w:val="20"/>
                              </w:rPr>
                              <w:tab/>
                            </w:r>
                            <w:r w:rsidR="00DF2EC1">
                              <w:rPr>
                                <w:rFonts w:cs="Arial"/>
                                <w:color w:val="FFFFFF"/>
                                <w:sz w:val="20"/>
                              </w:rPr>
                              <w:tab/>
                              <w:t xml:space="preserve">     </w:t>
                            </w:r>
                            <w:r w:rsidR="0034208F">
                              <w:rPr>
                                <w:rFonts w:cs="Arial"/>
                                <w:color w:val="FFFFFF"/>
                                <w:sz w:val="20"/>
                              </w:rPr>
                              <w:t>E.T.A. Hoffmann</w:t>
                            </w:r>
                            <w:r w:rsidR="00A16379">
                              <w:rPr>
                                <w:rFonts w:cs="Arial"/>
                                <w:color w:val="FFFFFF"/>
                                <w:sz w:val="20"/>
                              </w:rPr>
                              <w:t xml:space="preserve"> -</w:t>
                            </w:r>
                            <w:r w:rsidR="00DF2EC1">
                              <w:rPr>
                                <w:rFonts w:cs="Arial"/>
                                <w:color w:val="FFFFFF"/>
                                <w:sz w:val="20"/>
                              </w:rPr>
                              <w:t xml:space="preserve"> </w:t>
                            </w:r>
                            <w:r w:rsidR="0034208F">
                              <w:rPr>
                                <w:rFonts w:cs="Arial"/>
                                <w:color w:val="FFFFFF"/>
                                <w:sz w:val="20"/>
                              </w:rPr>
                              <w:t>De</w:t>
                            </w:r>
                            <w:r w:rsidR="000F74F7">
                              <w:rPr>
                                <w:rFonts w:cs="Arial"/>
                                <w:color w:val="FFFFFF"/>
                                <w:sz w:val="20"/>
                              </w:rPr>
                              <w:t xml:space="preserve">r </w:t>
                            </w:r>
                            <w:proofErr w:type="spellStart"/>
                            <w:r w:rsidR="000F74F7">
                              <w:rPr>
                                <w:rFonts w:cs="Arial"/>
                                <w:color w:val="FFFFFF"/>
                                <w:sz w:val="20"/>
                              </w:rPr>
                              <w:t>goldne</w:t>
                            </w:r>
                            <w:proofErr w:type="spellEnd"/>
                            <w:r w:rsidR="000F74F7">
                              <w:rPr>
                                <w:rFonts w:cs="Arial"/>
                                <w:color w:val="FFFFFF"/>
                                <w:sz w:val="20"/>
                              </w:rPr>
                              <w:t xml:space="preserve"> Topf</w:t>
                            </w:r>
                          </w:p>
                        </w:txbxContent>
                      </wps:txbx>
                      <wps:bodyPr rot="0" vert="horz" wrap="square" lIns="91440" tIns="45720" rIns="91440" bIns="45720" anchor="t" anchorCtr="0" upright="1">
                        <a:noAutofit/>
                      </wps:bodyPr>
                    </wps:wsp>
                    <wps:wsp>
                      <wps:cNvPr id="3" name="Text Box 3"/>
                      <wps:cNvSpPr txBox="1">
                        <a:spLocks/>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EC1" w:rsidRPr="007702B9" w:rsidRDefault="00DB789F" w:rsidP="00421FB9">
                            <w:pPr>
                              <w:rPr>
                                <w:b/>
                                <w:sz w:val="20"/>
                              </w:rPr>
                            </w:pPr>
                            <w:r>
                              <w:rPr>
                                <w:b/>
                                <w:sz w:val="20"/>
                              </w:rPr>
                              <w:t>Epoche der Romantik</w:t>
                            </w:r>
                            <w:r w:rsidR="00F91F75">
                              <w:rPr>
                                <w:b/>
                                <w:sz w:val="20"/>
                              </w:rPr>
                              <w:tab/>
                            </w:r>
                            <w:r w:rsidR="00DF2EC1">
                              <w:rPr>
                                <w:b/>
                                <w:sz w:val="20"/>
                              </w:rPr>
                              <w:tab/>
                            </w:r>
                            <w:r w:rsidR="00DF2EC1">
                              <w:rPr>
                                <w:b/>
                                <w:sz w:val="20"/>
                              </w:rPr>
                              <w:tab/>
                            </w:r>
                            <w:r w:rsidR="00487FC8">
                              <w:rPr>
                                <w:b/>
                                <w:sz w:val="20"/>
                              </w:rPr>
                              <w:t xml:space="preserve">                      </w:t>
                            </w:r>
                            <w:r w:rsidR="009E1DF5">
                              <w:rPr>
                                <w:b/>
                                <w:sz w:val="20"/>
                              </w:rPr>
                              <w:t>Das Unheimliche: Augen auf</w:t>
                            </w:r>
                            <w:r w:rsidR="00F56D80">
                              <w:rPr>
                                <w:b/>
                                <w:sz w:val="20"/>
                              </w:rPr>
                              <w:t xml:space="preserve"> </w:t>
                            </w:r>
                            <w:r w:rsidR="00D82B12">
                              <w:rPr>
                                <w:b/>
                                <w:sz w:val="20"/>
                              </w:rPr>
                              <w:t>–</w:t>
                            </w:r>
                            <w:r w:rsidR="00F56D80">
                              <w:rPr>
                                <w:b/>
                                <w:sz w:val="20"/>
                              </w:rPr>
                              <w:t xml:space="preserve"> Schülerarbeitsblatt</w:t>
                            </w:r>
                            <w:r w:rsidR="00D82B12">
                              <w:rPr>
                                <w:b/>
                                <w:sz w:val="20"/>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9pt;margin-top:1.65pt;width:496.9pt;height:36pt;z-index:251657728"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">
              <v:shapetype id="_x0000_t202" coordsize="21600,21600" o:spt="202" path="m,l,21600r21600,l21600,xe">
                <v:stroke joinstyle="miter"/>
                <v:path gradientshapeok="t" o:connecttype="rect"/>
              </v:shapetype>
              <v:shape id="Text Box 2"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" fillcolor="gray" stroked="f">
                <v:path arrowok="t"/>
                <v:textbox>
                  <w:txbxContent>
                    <w:p w:rsidR="00DF2EC1" w:rsidRDefault="004A795E" w:rsidP="00421FB9">
                      <w:pPr>
                        <w:rPr>
                          <w:rFonts w:cs="Arial"/>
                          <w:color w:val="FFFFFF"/>
                          <w:sz w:val="20"/>
                        </w:rPr>
                      </w:pPr>
                      <w:r w:rsidRPr="00D6653C">
                        <w:rPr>
                          <w:rFonts w:cs="Arial"/>
                          <w:noProof/>
                          <w:color w:val="FFFFFF"/>
                          <w:sz w:val="20"/>
                        </w:rPr>
                        <w:drawing>
                          <wp:inline distT="0" distB="0" distL="0" distR="0">
                            <wp:extent cx="375285" cy="129540"/>
                            <wp:effectExtent l="0" t="0" r="0"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 cy="129540"/>
                                    </a:xfrm>
                                    <a:prstGeom prst="rect">
                                      <a:avLst/>
                                    </a:prstGeom>
                                    <a:noFill/>
                                    <a:ln>
                                      <a:noFill/>
                                    </a:ln>
                                  </pic:spPr>
                                </pic:pic>
                              </a:graphicData>
                            </a:graphic>
                          </wp:inline>
                        </w:drawing>
                      </w:r>
                      <w:r w:rsidR="00DF2EC1">
                        <w:rPr>
                          <w:rFonts w:cs="Arial"/>
                          <w:color w:val="FFFFFF"/>
                          <w:sz w:val="20"/>
                        </w:rPr>
                        <w:t xml:space="preserve">  Neue Medien im Deutschunterricht </w:t>
                      </w:r>
                      <w:r w:rsidR="00DF2EC1">
                        <w:rPr>
                          <w:rFonts w:cs="Arial"/>
                          <w:color w:val="FFFFFF"/>
                          <w:sz w:val="20"/>
                        </w:rPr>
                        <w:tab/>
                      </w:r>
                      <w:r w:rsidR="00DF2EC1">
                        <w:rPr>
                          <w:rFonts w:cs="Arial"/>
                          <w:color w:val="FFFFFF"/>
                          <w:sz w:val="20"/>
                        </w:rPr>
                        <w:tab/>
                      </w:r>
                      <w:r w:rsidR="00DF2EC1">
                        <w:rPr>
                          <w:rFonts w:cs="Arial"/>
                          <w:color w:val="FFFFFF"/>
                          <w:sz w:val="20"/>
                        </w:rPr>
                        <w:tab/>
                        <w:t xml:space="preserve">     </w:t>
                      </w:r>
                      <w:r w:rsidR="0034208F">
                        <w:rPr>
                          <w:rFonts w:cs="Arial"/>
                          <w:color w:val="FFFFFF"/>
                          <w:sz w:val="20"/>
                        </w:rPr>
                        <w:t>E.T.A. Hoffmann</w:t>
                      </w:r>
                      <w:r w:rsidR="00A16379">
                        <w:rPr>
                          <w:rFonts w:cs="Arial"/>
                          <w:color w:val="FFFFFF"/>
                          <w:sz w:val="20"/>
                        </w:rPr>
                        <w:t xml:space="preserve"> -</w:t>
                      </w:r>
                      <w:r w:rsidR="00DF2EC1">
                        <w:rPr>
                          <w:rFonts w:cs="Arial"/>
                          <w:color w:val="FFFFFF"/>
                          <w:sz w:val="20"/>
                        </w:rPr>
                        <w:t xml:space="preserve"> </w:t>
                      </w:r>
                      <w:r w:rsidR="0034208F">
                        <w:rPr>
                          <w:rFonts w:cs="Arial"/>
                          <w:color w:val="FFFFFF"/>
                          <w:sz w:val="20"/>
                        </w:rPr>
                        <w:t>De</w:t>
                      </w:r>
                      <w:r w:rsidR="000F74F7">
                        <w:rPr>
                          <w:rFonts w:cs="Arial"/>
                          <w:color w:val="FFFFFF"/>
                          <w:sz w:val="20"/>
                        </w:rPr>
                        <w:t xml:space="preserve">r </w:t>
                      </w:r>
                      <w:proofErr w:type="spellStart"/>
                      <w:r w:rsidR="000F74F7">
                        <w:rPr>
                          <w:rFonts w:cs="Arial"/>
                          <w:color w:val="FFFFFF"/>
                          <w:sz w:val="20"/>
                        </w:rPr>
                        <w:t>goldne</w:t>
                      </w:r>
                      <w:proofErr w:type="spellEnd"/>
                      <w:r w:rsidR="000F74F7">
                        <w:rPr>
                          <w:rFonts w:cs="Arial"/>
                          <w:color w:val="FFFFFF"/>
                          <w:sz w:val="20"/>
                        </w:rPr>
                        <w:t xml:space="preserve"> Topf</w:t>
                      </w:r>
                    </w:p>
                  </w:txbxContent>
                </v:textbox>
              </v:shape>
              <v:shape id="Text Box 3"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" fillcolor="silver" stroked="f">
                <v:path arrowok="t"/>
                <v:textbox>
                  <w:txbxContent>
                    <w:p w:rsidR="00DF2EC1" w:rsidRPr="007702B9" w:rsidRDefault="00DB789F" w:rsidP="00421FB9">
                      <w:pPr>
                        <w:rPr>
                          <w:b/>
                          <w:sz w:val="20"/>
                        </w:rPr>
                      </w:pPr>
                      <w:r>
                        <w:rPr>
                          <w:b/>
                          <w:sz w:val="20"/>
                        </w:rPr>
                        <w:t>Epoche der Romantik</w:t>
                      </w:r>
                      <w:r w:rsidR="00F91F75">
                        <w:rPr>
                          <w:b/>
                          <w:sz w:val="20"/>
                        </w:rPr>
                        <w:tab/>
                      </w:r>
                      <w:r w:rsidR="00DF2EC1">
                        <w:rPr>
                          <w:b/>
                          <w:sz w:val="20"/>
                        </w:rPr>
                        <w:tab/>
                      </w:r>
                      <w:r w:rsidR="00DF2EC1">
                        <w:rPr>
                          <w:b/>
                          <w:sz w:val="20"/>
                        </w:rPr>
                        <w:tab/>
                      </w:r>
                      <w:r w:rsidR="00487FC8">
                        <w:rPr>
                          <w:b/>
                          <w:sz w:val="20"/>
                        </w:rPr>
                        <w:t xml:space="preserve">                      </w:t>
                      </w:r>
                      <w:r w:rsidR="009E1DF5">
                        <w:rPr>
                          <w:b/>
                          <w:sz w:val="20"/>
                        </w:rPr>
                        <w:t>Das Unheimliche: Augen auf</w:t>
                      </w:r>
                      <w:r w:rsidR="00F56D80">
                        <w:rPr>
                          <w:b/>
                          <w:sz w:val="20"/>
                        </w:rPr>
                        <w:t xml:space="preserve"> </w:t>
                      </w:r>
                      <w:r w:rsidR="00D82B12">
                        <w:rPr>
                          <w:b/>
                          <w:sz w:val="20"/>
                        </w:rPr>
                        <w:t>–</w:t>
                      </w:r>
                      <w:r w:rsidR="00F56D80">
                        <w:rPr>
                          <w:b/>
                          <w:sz w:val="20"/>
                        </w:rPr>
                        <w:t xml:space="preserve"> Schülerarbeitsblatt</w:t>
                      </w:r>
                      <w:r w:rsidR="00D82B12">
                        <w:rPr>
                          <w:b/>
                          <w:sz w:val="20"/>
                        </w:rPr>
                        <w:t>1</w:t>
                      </w:r>
                    </w:p>
                  </w:txbxContent>
                </v:textbox>
              </v:shape>
              <w10:wrap type="tight"/>
            </v:group>
          </w:pict>
        </mc:Fallback>
      </mc:AlternateContent>
    </w:r>
  </w:p>
  <w:p w:rsidR="00DF2EC1" w:rsidRDefault="00DF2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B13"/>
    <w:multiLevelType w:val="hybridMultilevel"/>
    <w:tmpl w:val="C25A7C98"/>
    <w:lvl w:ilvl="0" w:tplc="2EFCD2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550A1"/>
    <w:multiLevelType w:val="hybridMultilevel"/>
    <w:tmpl w:val="7702E9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2CE7485"/>
    <w:multiLevelType w:val="hybridMultilevel"/>
    <w:tmpl w:val="0CA8FC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B547196"/>
    <w:multiLevelType w:val="hybridMultilevel"/>
    <w:tmpl w:val="6BFE4A34"/>
    <w:lvl w:ilvl="0" w:tplc="3AC4BE0A">
      <w:start w:val="1"/>
      <w:numFmt w:val="decimal"/>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9"/>
    <w:rsid w:val="00007D28"/>
    <w:rsid w:val="00040436"/>
    <w:rsid w:val="00067090"/>
    <w:rsid w:val="000722D7"/>
    <w:rsid w:val="000B19D2"/>
    <w:rsid w:val="000B3DBE"/>
    <w:rsid w:val="000E7D11"/>
    <w:rsid w:val="000F52C7"/>
    <w:rsid w:val="000F74F7"/>
    <w:rsid w:val="00107A7C"/>
    <w:rsid w:val="0011300C"/>
    <w:rsid w:val="001308CC"/>
    <w:rsid w:val="00165762"/>
    <w:rsid w:val="00191B98"/>
    <w:rsid w:val="001D5EB2"/>
    <w:rsid w:val="001E370F"/>
    <w:rsid w:val="00215810"/>
    <w:rsid w:val="00243B08"/>
    <w:rsid w:val="00244948"/>
    <w:rsid w:val="002B22B7"/>
    <w:rsid w:val="002B3B71"/>
    <w:rsid w:val="002D3A16"/>
    <w:rsid w:val="002E36E3"/>
    <w:rsid w:val="002F2309"/>
    <w:rsid w:val="00313C29"/>
    <w:rsid w:val="00313DE6"/>
    <w:rsid w:val="0034208F"/>
    <w:rsid w:val="003633AF"/>
    <w:rsid w:val="00365385"/>
    <w:rsid w:val="003658EA"/>
    <w:rsid w:val="003A34B4"/>
    <w:rsid w:val="003C3AF8"/>
    <w:rsid w:val="003D3213"/>
    <w:rsid w:val="003E3E2B"/>
    <w:rsid w:val="00401BB2"/>
    <w:rsid w:val="00407366"/>
    <w:rsid w:val="00421FB9"/>
    <w:rsid w:val="00424E04"/>
    <w:rsid w:val="0046566C"/>
    <w:rsid w:val="00487FC8"/>
    <w:rsid w:val="004A795E"/>
    <w:rsid w:val="004D0960"/>
    <w:rsid w:val="004D412B"/>
    <w:rsid w:val="0051646D"/>
    <w:rsid w:val="00523A2D"/>
    <w:rsid w:val="005C477F"/>
    <w:rsid w:val="0060183B"/>
    <w:rsid w:val="00613470"/>
    <w:rsid w:val="00634717"/>
    <w:rsid w:val="00681778"/>
    <w:rsid w:val="006A0836"/>
    <w:rsid w:val="006A0913"/>
    <w:rsid w:val="006A2BCE"/>
    <w:rsid w:val="006A7ADE"/>
    <w:rsid w:val="006F5CB0"/>
    <w:rsid w:val="00717E55"/>
    <w:rsid w:val="00742913"/>
    <w:rsid w:val="00743759"/>
    <w:rsid w:val="00754A1D"/>
    <w:rsid w:val="007702B9"/>
    <w:rsid w:val="00782EFC"/>
    <w:rsid w:val="00787395"/>
    <w:rsid w:val="007A4A67"/>
    <w:rsid w:val="007C4E86"/>
    <w:rsid w:val="007C7E84"/>
    <w:rsid w:val="007E2EA1"/>
    <w:rsid w:val="007E7FD5"/>
    <w:rsid w:val="007F21AE"/>
    <w:rsid w:val="00816096"/>
    <w:rsid w:val="008217BC"/>
    <w:rsid w:val="00882AC1"/>
    <w:rsid w:val="008926F3"/>
    <w:rsid w:val="008B6EE9"/>
    <w:rsid w:val="008C7A73"/>
    <w:rsid w:val="008E06F0"/>
    <w:rsid w:val="009222EB"/>
    <w:rsid w:val="0093250E"/>
    <w:rsid w:val="00937A9C"/>
    <w:rsid w:val="009573D0"/>
    <w:rsid w:val="00957E61"/>
    <w:rsid w:val="00990C9B"/>
    <w:rsid w:val="009B148C"/>
    <w:rsid w:val="009E1DF5"/>
    <w:rsid w:val="009F3591"/>
    <w:rsid w:val="00A16379"/>
    <w:rsid w:val="00A43BC1"/>
    <w:rsid w:val="00A47883"/>
    <w:rsid w:val="00A77702"/>
    <w:rsid w:val="00A92D09"/>
    <w:rsid w:val="00AA6795"/>
    <w:rsid w:val="00AE3AAA"/>
    <w:rsid w:val="00B030A6"/>
    <w:rsid w:val="00B115BC"/>
    <w:rsid w:val="00B34B58"/>
    <w:rsid w:val="00B5779E"/>
    <w:rsid w:val="00BA07C1"/>
    <w:rsid w:val="00BA657F"/>
    <w:rsid w:val="00BD1503"/>
    <w:rsid w:val="00BD2DE5"/>
    <w:rsid w:val="00BD6E05"/>
    <w:rsid w:val="00C45747"/>
    <w:rsid w:val="00CB4B89"/>
    <w:rsid w:val="00CB56B7"/>
    <w:rsid w:val="00CD205E"/>
    <w:rsid w:val="00D54F55"/>
    <w:rsid w:val="00D6653C"/>
    <w:rsid w:val="00D77B62"/>
    <w:rsid w:val="00D81A90"/>
    <w:rsid w:val="00D82B12"/>
    <w:rsid w:val="00DA290B"/>
    <w:rsid w:val="00DB2759"/>
    <w:rsid w:val="00DB789F"/>
    <w:rsid w:val="00DE57FF"/>
    <w:rsid w:val="00DF2EC1"/>
    <w:rsid w:val="00E2121D"/>
    <w:rsid w:val="00E55EEF"/>
    <w:rsid w:val="00E87B76"/>
    <w:rsid w:val="00EC21CF"/>
    <w:rsid w:val="00EF6444"/>
    <w:rsid w:val="00F01FA1"/>
    <w:rsid w:val="00F13471"/>
    <w:rsid w:val="00F14FC8"/>
    <w:rsid w:val="00F215A6"/>
    <w:rsid w:val="00F56BC3"/>
    <w:rsid w:val="00F56D80"/>
    <w:rsid w:val="00F77E82"/>
    <w:rsid w:val="00F84E45"/>
    <w:rsid w:val="00F90859"/>
    <w:rsid w:val="00F91F75"/>
    <w:rsid w:val="00F967D4"/>
    <w:rsid w:val="00FC6F3D"/>
    <w:rsid w:val="00FE53FB"/>
    <w:rsid w:val="00FF1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2FC66"/>
  <w15:chartTrackingRefBased/>
  <w15:docId w15:val="{27724C1C-BA69-7446-8511-6AF14188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B22B7"/>
    <w:rPr>
      <w:rFonts w:ascii="Arial" w:eastAsia="Times New Roman"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rsid w:val="003E3E2B"/>
    <w:rPr>
      <w:rFonts w:ascii="Times New Roman" w:hAnsi="Times New Roman" w:cs="Times New Roman"/>
      <w:sz w:val="20"/>
    </w:rPr>
  </w:style>
  <w:style w:type="paragraph" w:styleId="Kopfzeile">
    <w:name w:val="header"/>
    <w:basedOn w:val="Standard"/>
    <w:link w:val="KopfzeileZchn"/>
    <w:semiHidden/>
    <w:rsid w:val="00421FB9"/>
    <w:pPr>
      <w:tabs>
        <w:tab w:val="center" w:pos="4536"/>
        <w:tab w:val="right" w:pos="9072"/>
      </w:tabs>
    </w:pPr>
  </w:style>
  <w:style w:type="character" w:customStyle="1" w:styleId="KopfzeileZchn">
    <w:name w:val="Kopfzeile Zchn"/>
    <w:basedOn w:val="Absatz-Standardschriftart"/>
    <w:link w:val="Kopfzeile"/>
    <w:semiHidden/>
    <w:locked/>
    <w:rsid w:val="00421FB9"/>
    <w:rPr>
      <w:rFonts w:ascii="Arial" w:hAnsi="Arial" w:cs="Times New Roman"/>
      <w:sz w:val="24"/>
    </w:rPr>
  </w:style>
  <w:style w:type="paragraph" w:styleId="Fuzeile">
    <w:name w:val="footer"/>
    <w:basedOn w:val="Standard"/>
    <w:link w:val="FuzeileZchn"/>
    <w:semiHidden/>
    <w:rsid w:val="00421FB9"/>
    <w:pPr>
      <w:tabs>
        <w:tab w:val="center" w:pos="4536"/>
        <w:tab w:val="right" w:pos="9072"/>
      </w:tabs>
    </w:pPr>
  </w:style>
  <w:style w:type="character" w:customStyle="1" w:styleId="FuzeileZchn">
    <w:name w:val="Fußzeile Zchn"/>
    <w:basedOn w:val="Absatz-Standardschriftart"/>
    <w:link w:val="Fuzeile"/>
    <w:semiHidden/>
    <w:locked/>
    <w:rsid w:val="00421FB9"/>
    <w:rPr>
      <w:rFonts w:ascii="Arial" w:hAnsi="Arial" w:cs="Times New Roman"/>
      <w:sz w:val="24"/>
    </w:rPr>
  </w:style>
  <w:style w:type="character" w:styleId="Seitenzahl">
    <w:name w:val="page number"/>
    <w:basedOn w:val="Absatz-Standardschriftart"/>
    <w:rsid w:val="00C45747"/>
  </w:style>
  <w:style w:type="character" w:styleId="Hyperlink">
    <w:name w:val="Hyperlink"/>
    <w:basedOn w:val="Absatz-Standardschriftart"/>
    <w:rsid w:val="00243B08"/>
    <w:rPr>
      <w:color w:val="0000FF"/>
      <w:u w:val="single"/>
    </w:rPr>
  </w:style>
  <w:style w:type="character" w:customStyle="1" w:styleId="BesuchterHyperlink">
    <w:name w:val="BesuchterHyperlink"/>
    <w:basedOn w:val="Absatz-Standardschriftart"/>
    <w:rsid w:val="00243B08"/>
    <w:rPr>
      <w:color w:val="800080"/>
      <w:u w:val="single"/>
    </w:rPr>
  </w:style>
  <w:style w:type="table" w:customStyle="1" w:styleId="Tabellengitternetz">
    <w:name w:val="Tabellengitternetz"/>
    <w:basedOn w:val="NormaleTabelle"/>
    <w:locked/>
    <w:rsid w:val="00CB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23A2D"/>
    <w:rPr>
      <w:color w:val="605E5C"/>
      <w:shd w:val="clear" w:color="auto" w:fill="E1DFDD"/>
    </w:rPr>
  </w:style>
  <w:style w:type="paragraph" w:styleId="Listenabsatz">
    <w:name w:val="List Paragraph"/>
    <w:basedOn w:val="Standard"/>
    <w:uiPriority w:val="34"/>
    <w:qFormat/>
    <w:rsid w:val="00AA6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de/books?id=f8_l7cliQnMC&amp;pg=PA152&amp;lpg=PA152&amp;dq=lothar+pikulik+nachtst&#252;cke&amp;source=bl&amp;ots=vkBcOAbR3y&amp;sig=_N5izezWstqWKk7w_krqlwedViI&amp;hl=de&amp;sa=X&amp;ved=2ahUKEwjA9obV4M3bAhWCDCwKHaEBAP4Q6AEwA3oECAIQ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CF4cTbq5-O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zi.com/dcaeas6nnf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Zum Begriff „Postmoderne“ 1</vt:lpstr>
    </vt:vector>
  </TitlesOfParts>
  <Company/>
  <LinksUpToDate>false</LinksUpToDate>
  <CharactersWithSpaces>3144</CharactersWithSpaces>
  <SharedDoc>false</SharedDoc>
  <HLinks>
    <vt:vector size="6" baseType="variant">
      <vt:variant>
        <vt:i4>3014778</vt:i4>
      </vt:variant>
      <vt:variant>
        <vt:i4>0</vt:i4>
      </vt:variant>
      <vt:variant>
        <vt:i4>0</vt:i4>
      </vt:variant>
      <vt:variant>
        <vt:i4>5</vt:i4>
      </vt:variant>
      <vt:variant>
        <vt:lpwstr>http://www.youtube.com/watch?v=CF4cTbq5-OU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 Begriff „Postmoderne“ 1</dc:title>
  <dc:subject/>
  <dc:creator>ute</dc:creator>
  <cp:keywords/>
  <cp:lastModifiedBy>Michael Kazenwadel</cp:lastModifiedBy>
  <cp:revision>2</cp:revision>
  <cp:lastPrinted>2011-10-27T14:24:00Z</cp:lastPrinted>
  <dcterms:created xsi:type="dcterms:W3CDTF">2018-10-29T13:06:00Z</dcterms:created>
  <dcterms:modified xsi:type="dcterms:W3CDTF">2018-10-29T13:06:00Z</dcterms:modified>
</cp:coreProperties>
</file>