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89C8A" w14:textId="1293E83B" w:rsidR="00687801" w:rsidRPr="00687801" w:rsidRDefault="000056B4" w:rsidP="00687801">
      <w:pPr>
        <w:pStyle w:val="berschrift1"/>
      </w:pPr>
      <w:r>
        <w:rPr>
          <w:rFonts w:asciiTheme="minorHAnsi" w:eastAsia="Times New Roman" w:hAnsiTheme="minorHAnsi" w:cstheme="minorHAnsi"/>
          <w:b/>
          <w:bCs/>
          <w:szCs w:val="24"/>
        </w:rPr>
        <w:t>Hinweise für die Lehrkraft</w:t>
      </w:r>
    </w:p>
    <w:p w14:paraId="087F0AF0" w14:textId="77777777" w:rsidR="00315790" w:rsidRPr="001C2C6E" w:rsidRDefault="00315790" w:rsidP="00315790">
      <w:pPr>
        <w:pStyle w:val="Listenabsatz"/>
        <w:numPr>
          <w:ilvl w:val="0"/>
          <w:numId w:val="40"/>
        </w:numPr>
        <w:spacing w:after="0" w:line="360" w:lineRule="auto"/>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b) Vollständig lautet der Lückentext:</w:t>
      </w:r>
    </w:p>
    <w:p w14:paraId="0CD34E64" w14:textId="62873B1D" w:rsidR="005E21FC" w:rsidRDefault="00315790" w:rsidP="00315790">
      <w:pPr>
        <w:spacing w:line="360" w:lineRule="auto"/>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Erzähltexte zeichnen sich dadurch aus, dass alles, was wir über die Welt der Erzählung (d.</w:t>
      </w:r>
      <w:r>
        <w:rPr>
          <w:rFonts w:asciiTheme="minorHAnsi" w:eastAsia="Times New Roman" w:hAnsiTheme="minorHAnsi" w:cstheme="minorHAnsi"/>
          <w:lang w:eastAsia="de-DE"/>
        </w:rPr>
        <w:t> </w:t>
      </w:r>
      <w:r w:rsidRPr="001C2C6E">
        <w:rPr>
          <w:rFonts w:asciiTheme="minorHAnsi" w:eastAsia="Times New Roman" w:hAnsiTheme="minorHAnsi" w:cstheme="minorHAnsi"/>
          <w:lang w:eastAsia="de-DE"/>
        </w:rPr>
        <w:t xml:space="preserve">h. die </w:t>
      </w:r>
      <w:r w:rsidRPr="001C2C6E">
        <w:rPr>
          <w:rFonts w:asciiTheme="minorHAnsi" w:eastAsia="Times New Roman" w:hAnsiTheme="minorHAnsi" w:cstheme="minorHAnsi"/>
          <w:b/>
          <w:bCs/>
          <w:lang w:eastAsia="de-DE"/>
        </w:rPr>
        <w:t>erzählte Welt</w:t>
      </w:r>
      <w:r w:rsidRPr="001C2C6E">
        <w:rPr>
          <w:rFonts w:asciiTheme="minorHAnsi" w:eastAsia="Times New Roman" w:hAnsiTheme="minorHAnsi" w:cstheme="minorHAnsi"/>
          <w:lang w:eastAsia="de-DE"/>
        </w:rPr>
        <w:t xml:space="preserve">) erfahren, durch einen </w:t>
      </w:r>
      <w:r w:rsidRPr="001C2C6E">
        <w:rPr>
          <w:rFonts w:asciiTheme="minorHAnsi" w:eastAsia="Times New Roman" w:hAnsiTheme="minorHAnsi" w:cstheme="minorHAnsi"/>
          <w:b/>
          <w:bCs/>
          <w:lang w:eastAsia="de-DE"/>
        </w:rPr>
        <w:t>Erzähler</w:t>
      </w:r>
      <w:r w:rsidRPr="001C2C6E">
        <w:rPr>
          <w:rFonts w:asciiTheme="minorHAnsi" w:eastAsia="Times New Roman" w:hAnsiTheme="minorHAnsi" w:cstheme="minorHAnsi"/>
          <w:lang w:eastAsia="de-DE"/>
        </w:rPr>
        <w:t xml:space="preserve"> vermittelt ist. Dieser </w:t>
      </w:r>
      <w:r w:rsidRPr="001C2C6E">
        <w:rPr>
          <w:rFonts w:asciiTheme="minorHAnsi" w:eastAsia="Times New Roman" w:hAnsiTheme="minorHAnsi" w:cstheme="minorHAnsi"/>
          <w:b/>
          <w:bCs/>
          <w:lang w:eastAsia="de-DE"/>
        </w:rPr>
        <w:t>Erzähler</w:t>
      </w:r>
      <w:r w:rsidRPr="001C2C6E">
        <w:rPr>
          <w:rFonts w:asciiTheme="minorHAnsi" w:eastAsia="Times New Roman" w:hAnsiTheme="minorHAnsi" w:cstheme="minorHAnsi"/>
          <w:lang w:eastAsia="de-DE"/>
        </w:rPr>
        <w:t xml:space="preserve"> ist keine reale, sondern eine </w:t>
      </w:r>
      <w:r w:rsidRPr="001C2C6E">
        <w:rPr>
          <w:rFonts w:asciiTheme="minorHAnsi" w:eastAsia="Times New Roman" w:hAnsiTheme="minorHAnsi" w:cstheme="minorHAnsi"/>
          <w:b/>
          <w:bCs/>
          <w:lang w:eastAsia="de-DE"/>
        </w:rPr>
        <w:t>fiktive</w:t>
      </w:r>
      <w:r w:rsidRPr="001C2C6E">
        <w:rPr>
          <w:rFonts w:asciiTheme="minorHAnsi" w:eastAsia="Times New Roman" w:hAnsiTheme="minorHAnsi" w:cstheme="minorHAnsi"/>
          <w:lang w:eastAsia="de-DE"/>
        </w:rPr>
        <w:t xml:space="preserve"> Figur, die mit unterschiedlichen Zügen ausgestaltet sein kann – er kann z.</w:t>
      </w:r>
      <w:r>
        <w:rPr>
          <w:rFonts w:asciiTheme="minorHAnsi" w:eastAsia="Times New Roman" w:hAnsiTheme="minorHAnsi" w:cstheme="minorHAnsi"/>
          <w:lang w:eastAsia="de-DE"/>
        </w:rPr>
        <w:t> </w:t>
      </w:r>
      <w:r w:rsidRPr="001C2C6E">
        <w:rPr>
          <w:rFonts w:asciiTheme="minorHAnsi" w:eastAsia="Times New Roman" w:hAnsiTheme="minorHAnsi" w:cstheme="minorHAnsi"/>
          <w:lang w:eastAsia="de-DE"/>
        </w:rPr>
        <w:t xml:space="preserve">B. mehr oder weniger Wissen über die Figuren besitzen, selbst Teil der Handlung sein (oder diese als unbeteiligter Beobachter wiedergeben), das Verhalten von Figuren kommentieren, uns zuverlässig mit Informationen versorgen (oder sich im Lauf der Erzählung als unzuverlässig herausstellen). Die Gestaltung des </w:t>
      </w:r>
      <w:r w:rsidRPr="001C2C6E">
        <w:rPr>
          <w:rFonts w:asciiTheme="minorHAnsi" w:eastAsia="Times New Roman" w:hAnsiTheme="minorHAnsi" w:cstheme="minorHAnsi"/>
          <w:b/>
          <w:bCs/>
          <w:lang w:eastAsia="de-DE"/>
        </w:rPr>
        <w:t>Erzählers</w:t>
      </w:r>
      <w:r w:rsidRPr="001C2C6E">
        <w:rPr>
          <w:rFonts w:asciiTheme="minorHAnsi" w:eastAsia="Times New Roman" w:hAnsiTheme="minorHAnsi" w:cstheme="minorHAnsi"/>
          <w:lang w:eastAsia="de-DE"/>
        </w:rPr>
        <w:t xml:space="preserve"> liegt im Letzten beim </w:t>
      </w:r>
      <w:r w:rsidRPr="001C2C6E">
        <w:rPr>
          <w:rFonts w:asciiTheme="minorHAnsi" w:eastAsia="Times New Roman" w:hAnsiTheme="minorHAnsi" w:cstheme="minorHAnsi"/>
          <w:b/>
          <w:bCs/>
          <w:lang w:eastAsia="de-DE"/>
        </w:rPr>
        <w:t>Autor</w:t>
      </w:r>
      <w:r w:rsidRPr="001C2C6E">
        <w:rPr>
          <w:rFonts w:asciiTheme="minorHAnsi" w:eastAsia="Times New Roman" w:hAnsiTheme="minorHAnsi" w:cstheme="minorHAnsi"/>
          <w:lang w:eastAsia="de-DE"/>
        </w:rPr>
        <w:t xml:space="preserve">, der als konkrete, historische Person zu einem bestimmten Zeitpunkt den Text geschrieben hat. </w:t>
      </w:r>
      <w:r w:rsidRPr="001C2C6E">
        <w:rPr>
          <w:rFonts w:asciiTheme="minorHAnsi" w:eastAsia="Times New Roman" w:hAnsiTheme="minorHAnsi" w:cstheme="minorHAnsi"/>
          <w:b/>
          <w:bCs/>
          <w:lang w:eastAsia="de-DE"/>
        </w:rPr>
        <w:t>Autor</w:t>
      </w:r>
      <w:r w:rsidRPr="001C2C6E">
        <w:rPr>
          <w:rFonts w:asciiTheme="minorHAnsi" w:eastAsia="Times New Roman" w:hAnsiTheme="minorHAnsi" w:cstheme="minorHAnsi"/>
          <w:lang w:eastAsia="de-DE"/>
        </w:rPr>
        <w:t xml:space="preserve"> und </w:t>
      </w:r>
      <w:r w:rsidRPr="001C2C6E">
        <w:rPr>
          <w:rFonts w:asciiTheme="minorHAnsi" w:eastAsia="Times New Roman" w:hAnsiTheme="minorHAnsi" w:cstheme="minorHAnsi"/>
          <w:b/>
          <w:bCs/>
          <w:lang w:eastAsia="de-DE"/>
        </w:rPr>
        <w:t>Erzähler</w:t>
      </w:r>
      <w:r w:rsidRPr="001C2C6E">
        <w:rPr>
          <w:rFonts w:asciiTheme="minorHAnsi" w:eastAsia="Times New Roman" w:hAnsiTheme="minorHAnsi" w:cstheme="minorHAnsi"/>
          <w:lang w:eastAsia="de-DE"/>
        </w:rPr>
        <w:t xml:space="preserve"> dürfen nicht miteinander verwechselt werden! So kann z.</w:t>
      </w:r>
      <w:r>
        <w:rPr>
          <w:rFonts w:asciiTheme="minorHAnsi" w:eastAsia="Times New Roman" w:hAnsiTheme="minorHAnsi" w:cstheme="minorHAnsi"/>
          <w:lang w:eastAsia="de-DE"/>
        </w:rPr>
        <w:t> </w:t>
      </w:r>
      <w:r w:rsidRPr="001C2C6E">
        <w:rPr>
          <w:rFonts w:asciiTheme="minorHAnsi" w:eastAsia="Times New Roman" w:hAnsiTheme="minorHAnsi" w:cstheme="minorHAnsi"/>
          <w:lang w:eastAsia="de-DE"/>
        </w:rPr>
        <w:t xml:space="preserve">B. ein männlicher </w:t>
      </w:r>
      <w:r w:rsidRPr="001C2C6E">
        <w:rPr>
          <w:rFonts w:asciiTheme="minorHAnsi" w:eastAsia="Times New Roman" w:hAnsiTheme="minorHAnsi" w:cstheme="minorHAnsi"/>
          <w:b/>
          <w:bCs/>
          <w:lang w:eastAsia="de-DE"/>
        </w:rPr>
        <w:t>Autor</w:t>
      </w:r>
      <w:r w:rsidRPr="001C2C6E">
        <w:rPr>
          <w:rFonts w:asciiTheme="minorHAnsi" w:eastAsia="Times New Roman" w:hAnsiTheme="minorHAnsi" w:cstheme="minorHAnsi"/>
          <w:lang w:eastAsia="de-DE"/>
        </w:rPr>
        <w:t xml:space="preserve"> eine weibliche Figur erzählen lassen oder ein </w:t>
      </w:r>
      <w:r w:rsidRPr="001C2C6E">
        <w:rPr>
          <w:rFonts w:asciiTheme="minorHAnsi" w:eastAsia="Times New Roman" w:hAnsiTheme="minorHAnsi" w:cstheme="minorHAnsi"/>
          <w:b/>
          <w:bCs/>
          <w:lang w:eastAsia="de-DE"/>
        </w:rPr>
        <w:t>Autor</w:t>
      </w:r>
      <w:r w:rsidRPr="001C2C6E">
        <w:rPr>
          <w:rFonts w:asciiTheme="minorHAnsi" w:eastAsia="Times New Roman" w:hAnsiTheme="minorHAnsi" w:cstheme="minorHAnsi"/>
          <w:lang w:eastAsia="de-DE"/>
        </w:rPr>
        <w:t xml:space="preserve">, der selbst ein genauer Kenner historischer Zusammenhänge ist, kann seinen </w:t>
      </w:r>
      <w:r w:rsidRPr="001C2C6E">
        <w:rPr>
          <w:rFonts w:asciiTheme="minorHAnsi" w:eastAsia="Times New Roman" w:hAnsiTheme="minorHAnsi" w:cstheme="minorHAnsi"/>
          <w:b/>
          <w:bCs/>
          <w:lang w:eastAsia="de-DE"/>
        </w:rPr>
        <w:t>Erzähler</w:t>
      </w:r>
      <w:r w:rsidRPr="001C2C6E">
        <w:rPr>
          <w:rFonts w:asciiTheme="minorHAnsi" w:eastAsia="Times New Roman" w:hAnsiTheme="minorHAnsi" w:cstheme="minorHAnsi"/>
          <w:lang w:eastAsia="de-DE"/>
        </w:rPr>
        <w:t xml:space="preserve"> vorgeben lassen, von Geschichte keine Ahnung zu haben … Denjenigen, an den der Erzähler sich richtet, nennt man den (</w:t>
      </w:r>
      <w:r w:rsidRPr="001C2C6E">
        <w:rPr>
          <w:rFonts w:asciiTheme="minorHAnsi" w:eastAsia="Times New Roman" w:hAnsiTheme="minorHAnsi" w:cstheme="minorHAnsi"/>
          <w:b/>
          <w:bCs/>
          <w:lang w:eastAsia="de-DE"/>
        </w:rPr>
        <w:t>fiktiven</w:t>
      </w:r>
      <w:r w:rsidRPr="001C2C6E">
        <w:rPr>
          <w:rFonts w:asciiTheme="minorHAnsi" w:eastAsia="Times New Roman" w:hAnsiTheme="minorHAnsi" w:cstheme="minorHAnsi"/>
          <w:lang w:eastAsia="de-DE"/>
        </w:rPr>
        <w:t xml:space="preserve">) </w:t>
      </w:r>
      <w:r w:rsidRPr="001C2C6E">
        <w:rPr>
          <w:rFonts w:asciiTheme="minorHAnsi" w:eastAsia="Times New Roman" w:hAnsiTheme="minorHAnsi" w:cstheme="minorHAnsi"/>
          <w:b/>
          <w:bCs/>
          <w:lang w:eastAsia="de-DE"/>
        </w:rPr>
        <w:t>Leser</w:t>
      </w:r>
      <w:r w:rsidRPr="001C2C6E">
        <w:rPr>
          <w:rFonts w:asciiTheme="minorHAnsi" w:eastAsia="Times New Roman" w:hAnsiTheme="minorHAnsi" w:cstheme="minorHAnsi"/>
          <w:lang w:eastAsia="de-DE"/>
        </w:rPr>
        <w:t xml:space="preserve"> des Texts. Auch hier besteht Verwechslungsgefahr: Als Gegenüber des Erzählers ist der </w:t>
      </w:r>
      <w:r w:rsidRPr="001C2C6E">
        <w:rPr>
          <w:rFonts w:asciiTheme="minorHAnsi" w:eastAsia="Times New Roman" w:hAnsiTheme="minorHAnsi" w:cstheme="minorHAnsi"/>
          <w:b/>
          <w:bCs/>
          <w:lang w:eastAsia="de-DE"/>
        </w:rPr>
        <w:t>fiktive Leser</w:t>
      </w:r>
      <w:r w:rsidRPr="001C2C6E">
        <w:rPr>
          <w:rFonts w:asciiTheme="minorHAnsi" w:eastAsia="Times New Roman" w:hAnsiTheme="minorHAnsi" w:cstheme="minorHAnsi"/>
          <w:lang w:eastAsia="de-DE"/>
        </w:rPr>
        <w:t xml:space="preserve"> Teil der im literarischen Werk dargestellten Welt und keine konkrete, reale Person, die das Werk zu einem bestimmten Zeitpunkt liest. So kann der Erzähler z.</w:t>
      </w:r>
      <w:r>
        <w:rPr>
          <w:rFonts w:asciiTheme="minorHAnsi" w:eastAsia="Times New Roman" w:hAnsiTheme="minorHAnsi" w:cstheme="minorHAnsi"/>
          <w:lang w:eastAsia="de-DE"/>
        </w:rPr>
        <w:t> </w:t>
      </w:r>
      <w:r w:rsidRPr="001C2C6E">
        <w:rPr>
          <w:rFonts w:asciiTheme="minorHAnsi" w:eastAsia="Times New Roman" w:hAnsiTheme="minorHAnsi" w:cstheme="minorHAnsi"/>
          <w:lang w:eastAsia="de-DE"/>
        </w:rPr>
        <w:t xml:space="preserve">B., indem er sein Gegenüber direkt mit „du“ anspricht, den </w:t>
      </w:r>
      <w:r w:rsidRPr="001C2C6E">
        <w:rPr>
          <w:rFonts w:asciiTheme="minorHAnsi" w:eastAsia="Times New Roman" w:hAnsiTheme="minorHAnsi" w:cstheme="minorHAnsi"/>
          <w:b/>
          <w:bCs/>
          <w:lang w:eastAsia="de-DE"/>
        </w:rPr>
        <w:t>fiktiven Leser</w:t>
      </w:r>
      <w:r w:rsidRPr="001C2C6E">
        <w:rPr>
          <w:rFonts w:asciiTheme="minorHAnsi" w:eastAsia="Times New Roman" w:hAnsiTheme="minorHAnsi" w:cstheme="minorHAnsi"/>
          <w:lang w:eastAsia="de-DE"/>
        </w:rPr>
        <w:t xml:space="preserve"> zu Aufmerksamkeit auffordern oder kommentieren, dass dieser in Gedanken abzuschweifen droht, auch wenn der konkrete Leser in diesem Moment in Gedanken voll bei der Sache ist. Teil der erzählten Welt sind schließlich die </w:t>
      </w:r>
      <w:r w:rsidRPr="001C2C6E">
        <w:rPr>
          <w:rFonts w:asciiTheme="minorHAnsi" w:eastAsia="Times New Roman" w:hAnsiTheme="minorHAnsi" w:cstheme="minorHAnsi"/>
          <w:b/>
          <w:bCs/>
          <w:lang w:eastAsia="de-DE"/>
        </w:rPr>
        <w:t>Figuren</w:t>
      </w:r>
      <w:r w:rsidRPr="001C2C6E">
        <w:rPr>
          <w:rFonts w:asciiTheme="minorHAnsi" w:eastAsia="Times New Roman" w:hAnsiTheme="minorHAnsi" w:cstheme="minorHAnsi"/>
          <w:lang w:eastAsia="de-DE"/>
        </w:rPr>
        <w:t xml:space="preserve"> und deren </w:t>
      </w:r>
      <w:r w:rsidRPr="001C2C6E">
        <w:rPr>
          <w:rFonts w:asciiTheme="minorHAnsi" w:eastAsia="Times New Roman" w:hAnsiTheme="minorHAnsi" w:cstheme="minorHAnsi"/>
          <w:b/>
          <w:bCs/>
          <w:lang w:eastAsia="de-DE"/>
        </w:rPr>
        <w:t>Kommunikation</w:t>
      </w:r>
      <w:r w:rsidRPr="001C2C6E">
        <w:rPr>
          <w:rFonts w:asciiTheme="minorHAnsi" w:eastAsia="Times New Roman" w:hAnsiTheme="minorHAnsi" w:cstheme="minorHAnsi"/>
          <w:lang w:eastAsia="de-DE"/>
        </w:rPr>
        <w:t xml:space="preserve"> untereinander. Wenn er wiedergibt, was die </w:t>
      </w:r>
      <w:r w:rsidRPr="001C2C6E">
        <w:rPr>
          <w:rFonts w:asciiTheme="minorHAnsi" w:eastAsia="Times New Roman" w:hAnsiTheme="minorHAnsi" w:cstheme="minorHAnsi"/>
          <w:b/>
          <w:bCs/>
          <w:lang w:eastAsia="de-DE"/>
        </w:rPr>
        <w:t>Figuren</w:t>
      </w:r>
      <w:r w:rsidRPr="001C2C6E">
        <w:rPr>
          <w:rFonts w:asciiTheme="minorHAnsi" w:eastAsia="Times New Roman" w:hAnsiTheme="minorHAnsi" w:cstheme="minorHAnsi"/>
          <w:lang w:eastAsia="de-DE"/>
        </w:rPr>
        <w:t xml:space="preserve"> sagen, kann der Erzähler stark hinter deren Rede zurücktreten; im Extremfall steht wörtliche Rede der Figuren ohne eine Redeeinleitung durch den Erzähler. Die </w:t>
      </w:r>
      <w:r w:rsidRPr="001C2C6E">
        <w:rPr>
          <w:rFonts w:asciiTheme="minorHAnsi" w:eastAsia="Times New Roman" w:hAnsiTheme="minorHAnsi" w:cstheme="minorHAnsi"/>
          <w:b/>
          <w:bCs/>
          <w:lang w:eastAsia="de-DE"/>
        </w:rPr>
        <w:t>Figuren</w:t>
      </w:r>
      <w:r w:rsidRPr="001C2C6E">
        <w:rPr>
          <w:rFonts w:asciiTheme="minorHAnsi" w:eastAsia="Times New Roman" w:hAnsiTheme="minorHAnsi" w:cstheme="minorHAnsi"/>
          <w:lang w:eastAsia="de-DE"/>
        </w:rPr>
        <w:t xml:space="preserve"> können so selbst wiederum zu </w:t>
      </w:r>
      <w:r w:rsidRPr="001C2C6E">
        <w:rPr>
          <w:rFonts w:asciiTheme="minorHAnsi" w:eastAsia="Times New Roman" w:hAnsiTheme="minorHAnsi" w:cstheme="minorHAnsi"/>
          <w:b/>
          <w:bCs/>
          <w:lang w:eastAsia="de-DE"/>
        </w:rPr>
        <w:t>Erzählern</w:t>
      </w:r>
      <w:r w:rsidRPr="001C2C6E">
        <w:rPr>
          <w:rFonts w:asciiTheme="minorHAnsi" w:eastAsia="Times New Roman" w:hAnsiTheme="minorHAnsi" w:cstheme="minorHAnsi"/>
          <w:lang w:eastAsia="de-DE"/>
        </w:rPr>
        <w:t xml:space="preserve"> werden – auch wenn der ‚eigentliche‘ Erzähler als Vermittlungsinstanz nie ganz verschwinden kann.</w:t>
      </w:r>
      <w:r w:rsidR="005E21FC">
        <w:rPr>
          <w:rFonts w:asciiTheme="minorHAnsi" w:eastAsia="Times New Roman" w:hAnsiTheme="minorHAnsi" w:cstheme="minorHAnsi"/>
          <w:lang w:eastAsia="de-DE"/>
        </w:rPr>
        <w:br w:type="page"/>
      </w:r>
    </w:p>
    <w:p w14:paraId="547EC3D6" w14:textId="3E03A234" w:rsidR="00315790" w:rsidRDefault="00315790" w:rsidP="00315790">
      <w:pPr>
        <w:pStyle w:val="Listenabsatz"/>
        <w:numPr>
          <w:ilvl w:val="0"/>
          <w:numId w:val="40"/>
        </w:numPr>
        <w:spacing w:after="0" w:line="360" w:lineRule="auto"/>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lastRenderedPageBreak/>
        <w:t>b)</w:t>
      </w:r>
    </w:p>
    <w:tbl>
      <w:tblPr>
        <w:tblStyle w:val="Tabellenraster"/>
        <w:tblW w:w="974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552"/>
        <w:gridCol w:w="7194"/>
      </w:tblGrid>
      <w:tr w:rsidR="002C49E2" w14:paraId="57F1C92A" w14:textId="77777777" w:rsidTr="002C49E2">
        <w:trPr>
          <w:cantSplit/>
          <w:trHeight w:val="371"/>
          <w:tblHeader/>
        </w:trPr>
        <w:tc>
          <w:tcPr>
            <w:tcW w:w="2552" w:type="dxa"/>
            <w:tcBorders>
              <w:top w:val="nil"/>
              <w:left w:val="nil"/>
              <w:bottom w:val="single" w:sz="4" w:space="0" w:color="B70017"/>
              <w:right w:val="single" w:sz="4" w:space="0" w:color="D9D9D9" w:themeColor="background1" w:themeShade="D9"/>
            </w:tcBorders>
          </w:tcPr>
          <w:p w14:paraId="088A5DD5" w14:textId="6FE2B582" w:rsidR="002C49E2" w:rsidRDefault="002C49E2" w:rsidP="00F54C40">
            <w:pPr>
              <w:pStyle w:val="Tabellenberschrift"/>
            </w:pPr>
            <w:r>
              <w:t>Art der Rede</w:t>
            </w:r>
          </w:p>
        </w:tc>
        <w:tc>
          <w:tcPr>
            <w:tcW w:w="7194" w:type="dxa"/>
            <w:tcBorders>
              <w:top w:val="nil"/>
              <w:left w:val="single" w:sz="4" w:space="0" w:color="D9D9D9" w:themeColor="background1" w:themeShade="D9"/>
              <w:bottom w:val="single" w:sz="4" w:space="0" w:color="B70017"/>
              <w:right w:val="single" w:sz="4" w:space="0" w:color="D9D9D9" w:themeColor="background1" w:themeShade="D9"/>
            </w:tcBorders>
          </w:tcPr>
          <w:p w14:paraId="3F3E6382" w14:textId="773FF62D" w:rsidR="002C49E2" w:rsidRDefault="002C49E2" w:rsidP="00F54C40">
            <w:pPr>
              <w:pStyle w:val="Tabellenberschrift"/>
            </w:pPr>
            <w:r>
              <w:t>Beispiel</w:t>
            </w:r>
          </w:p>
        </w:tc>
      </w:tr>
      <w:tr w:rsidR="002C49E2" w14:paraId="2363738C" w14:textId="77777777" w:rsidTr="002C49E2">
        <w:trPr>
          <w:cantSplit/>
          <w:trHeight w:val="371"/>
          <w:tblHeader/>
        </w:trPr>
        <w:tc>
          <w:tcPr>
            <w:tcW w:w="2552" w:type="dxa"/>
            <w:tcBorders>
              <w:top w:val="single" w:sz="4" w:space="0" w:color="B70017"/>
            </w:tcBorders>
          </w:tcPr>
          <w:p w14:paraId="71BF2F1D" w14:textId="2CA4E4D4" w:rsidR="002C49E2" w:rsidRDefault="002C49E2" w:rsidP="00F54C40">
            <w:pPr>
              <w:pStyle w:val="Tabelleninhalt"/>
            </w:pPr>
            <w:r w:rsidRPr="001C2C6E">
              <w:rPr>
                <w:rFonts w:asciiTheme="minorHAnsi" w:eastAsia="Times New Roman" w:hAnsiTheme="minorHAnsi" w:cstheme="minorHAnsi"/>
                <w:lang w:eastAsia="de-DE"/>
              </w:rPr>
              <w:t>direkte Rede</w:t>
            </w:r>
          </w:p>
        </w:tc>
        <w:tc>
          <w:tcPr>
            <w:tcW w:w="7194" w:type="dxa"/>
            <w:tcBorders>
              <w:top w:val="single" w:sz="4" w:space="0" w:color="B70017"/>
            </w:tcBorders>
          </w:tcPr>
          <w:p w14:paraId="4E7F6A17" w14:textId="436AD0C6" w:rsidR="002C49E2" w:rsidRDefault="002C49E2" w:rsidP="00F54C40">
            <w:pPr>
              <w:pStyle w:val="Tabelleninhalt"/>
            </w:pPr>
            <w:r w:rsidRPr="001C2C6E">
              <w:rPr>
                <w:rFonts w:asciiTheme="minorHAnsi" w:eastAsia="Times New Roman" w:hAnsiTheme="minorHAnsi" w:cstheme="minorHAnsi"/>
                <w:lang w:eastAsia="de-DE"/>
              </w:rPr>
              <w:t>„Wohin gehst du?“ Peter antwortet: „Ich weiß es nicht.“</w:t>
            </w:r>
          </w:p>
        </w:tc>
      </w:tr>
      <w:tr w:rsidR="002C49E2" w14:paraId="279CDD4A" w14:textId="77777777" w:rsidTr="002C49E2">
        <w:trPr>
          <w:cantSplit/>
          <w:trHeight w:val="371"/>
          <w:tblHeader/>
        </w:trPr>
        <w:tc>
          <w:tcPr>
            <w:tcW w:w="2552" w:type="dxa"/>
          </w:tcPr>
          <w:p w14:paraId="395483B9" w14:textId="2E304A01" w:rsidR="002C49E2" w:rsidRDefault="002C49E2" w:rsidP="00F54C40">
            <w:pPr>
              <w:pStyle w:val="Tabelleninhalt"/>
            </w:pPr>
            <w:r w:rsidRPr="001C2C6E">
              <w:rPr>
                <w:rFonts w:asciiTheme="minorHAnsi" w:eastAsia="Times New Roman" w:hAnsiTheme="minorHAnsi" w:cstheme="minorHAnsi"/>
                <w:lang w:eastAsia="de-DE"/>
              </w:rPr>
              <w:t>innerer Monolog</w:t>
            </w:r>
          </w:p>
        </w:tc>
        <w:tc>
          <w:tcPr>
            <w:tcW w:w="7194" w:type="dxa"/>
          </w:tcPr>
          <w:p w14:paraId="7A4E1D15" w14:textId="66F46362" w:rsidR="002C49E2" w:rsidRDefault="002C49E2" w:rsidP="00F54C40">
            <w:pPr>
              <w:pStyle w:val="Tabelleninhalt"/>
            </w:pPr>
            <w:r w:rsidRPr="001C2C6E">
              <w:rPr>
                <w:rFonts w:asciiTheme="minorHAnsi" w:eastAsia="Times New Roman" w:hAnsiTheme="minorHAnsi" w:cstheme="minorHAnsi"/>
                <w:lang w:eastAsia="de-DE"/>
              </w:rPr>
              <w:t>Wohin soll ich gehen? Ich weiß es nicht …</w:t>
            </w:r>
          </w:p>
        </w:tc>
      </w:tr>
      <w:tr w:rsidR="002C49E2" w14:paraId="6DA98921" w14:textId="77777777" w:rsidTr="002C49E2">
        <w:trPr>
          <w:cantSplit/>
          <w:trHeight w:val="371"/>
          <w:tblHeader/>
        </w:trPr>
        <w:tc>
          <w:tcPr>
            <w:tcW w:w="2552" w:type="dxa"/>
          </w:tcPr>
          <w:p w14:paraId="5D5E2F77" w14:textId="1A1C2F61" w:rsidR="002C49E2" w:rsidRPr="001C2C6E" w:rsidRDefault="002C49E2" w:rsidP="00F54C40">
            <w:pPr>
              <w:pStyle w:val="Tabelleninhalt"/>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erlebte Rede</w:t>
            </w:r>
          </w:p>
        </w:tc>
        <w:tc>
          <w:tcPr>
            <w:tcW w:w="7194" w:type="dxa"/>
          </w:tcPr>
          <w:p w14:paraId="014FCE49" w14:textId="3C091FFE" w:rsidR="002C49E2" w:rsidRPr="001C2C6E" w:rsidRDefault="002C49E2" w:rsidP="00F54C40">
            <w:pPr>
              <w:pStyle w:val="Tabelleninhalt"/>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Wohin sollte er nur gehen? Er wusste es nicht.</w:t>
            </w:r>
          </w:p>
        </w:tc>
      </w:tr>
      <w:tr w:rsidR="002C49E2" w14:paraId="4D525F29" w14:textId="77777777" w:rsidTr="002C49E2">
        <w:trPr>
          <w:cantSplit/>
          <w:trHeight w:val="371"/>
          <w:tblHeader/>
        </w:trPr>
        <w:tc>
          <w:tcPr>
            <w:tcW w:w="2552" w:type="dxa"/>
          </w:tcPr>
          <w:p w14:paraId="69D977F5" w14:textId="50317BA4" w:rsidR="002C49E2" w:rsidRPr="001C2C6E" w:rsidRDefault="002C49E2" w:rsidP="00F54C40">
            <w:pPr>
              <w:pStyle w:val="Tabelleninhalt"/>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indirekte Rede</w:t>
            </w:r>
          </w:p>
        </w:tc>
        <w:tc>
          <w:tcPr>
            <w:tcW w:w="7194" w:type="dxa"/>
          </w:tcPr>
          <w:p w14:paraId="56DBE7A4" w14:textId="25D0CF5E" w:rsidR="002C49E2" w:rsidRPr="001C2C6E" w:rsidRDefault="002C49E2" w:rsidP="00F54C40">
            <w:pPr>
              <w:pStyle w:val="Tabelleninhalt"/>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Peter sagte, er wisse nicht, wohin er gehen solle.</w:t>
            </w:r>
          </w:p>
        </w:tc>
      </w:tr>
    </w:tbl>
    <w:p w14:paraId="1FAFDE54" w14:textId="04EE51A0" w:rsidR="00315790" w:rsidRPr="001C2C6E" w:rsidRDefault="00315790" w:rsidP="004F0AC8">
      <w:pPr>
        <w:spacing w:before="360" w:line="360" w:lineRule="auto"/>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Verschiedene Anordnungen sind möglich, je nachdem, wie „Unmittelbarkeit“ aufgefasst wird. Geklärt werden sollte insbesondere, was erlebte Rede bedeutet: Die Rede der Figur wird wiedergegeben, zugleich verweisen Person (3. Pers.) und Zeit (</w:t>
      </w:r>
      <w:proofErr w:type="spellStart"/>
      <w:r w:rsidRPr="001C2C6E">
        <w:rPr>
          <w:rFonts w:asciiTheme="minorHAnsi" w:eastAsia="Times New Roman" w:hAnsiTheme="minorHAnsi" w:cstheme="minorHAnsi"/>
          <w:lang w:eastAsia="de-DE"/>
        </w:rPr>
        <w:t>Prät</w:t>
      </w:r>
      <w:proofErr w:type="spellEnd"/>
      <w:r w:rsidRPr="001C2C6E">
        <w:rPr>
          <w:rFonts w:asciiTheme="minorHAnsi" w:eastAsia="Times New Roman" w:hAnsiTheme="minorHAnsi" w:cstheme="minorHAnsi"/>
          <w:lang w:eastAsia="de-DE"/>
        </w:rPr>
        <w:t>.) auf die Rede des Erzählers.</w:t>
      </w:r>
    </w:p>
    <w:p w14:paraId="1BCF14EB" w14:textId="77777777" w:rsidR="00C078FE" w:rsidRDefault="00315790" w:rsidP="00B5152B">
      <w:pPr>
        <w:pStyle w:val="Listenabsatz"/>
        <w:numPr>
          <w:ilvl w:val="0"/>
          <w:numId w:val="40"/>
        </w:numPr>
        <w:tabs>
          <w:tab w:val="left" w:pos="1276"/>
        </w:tabs>
        <w:spacing w:after="120" w:line="360" w:lineRule="auto"/>
        <w:jc w:val="both"/>
        <w:rPr>
          <w:rFonts w:asciiTheme="minorHAnsi" w:eastAsia="Times New Roman" w:hAnsiTheme="minorHAnsi" w:cstheme="minorHAnsi"/>
          <w:lang w:eastAsia="de-DE"/>
        </w:rPr>
      </w:pPr>
      <w:r w:rsidRPr="001B602C">
        <w:rPr>
          <w:rFonts w:asciiTheme="minorHAnsi" w:eastAsia="Times New Roman" w:hAnsiTheme="minorHAnsi" w:cstheme="minorHAnsi"/>
          <w:lang w:eastAsia="de-DE"/>
        </w:rPr>
        <w:t>b)</w:t>
      </w:r>
      <w:r w:rsidR="00015912">
        <w:rPr>
          <w:rFonts w:asciiTheme="minorHAnsi" w:eastAsia="Times New Roman" w:hAnsiTheme="minorHAnsi" w:cstheme="minorHAnsi"/>
          <w:lang w:eastAsia="de-DE"/>
        </w:rPr>
        <w:tab/>
      </w:r>
      <w:r w:rsidRPr="001B602C">
        <w:rPr>
          <w:rFonts w:asciiTheme="minorHAnsi" w:eastAsia="Times New Roman" w:hAnsiTheme="minorHAnsi" w:cstheme="minorHAnsi"/>
          <w:lang w:eastAsia="de-DE"/>
        </w:rPr>
        <w:t>„uneigentliches Erzählen“ = Erzählverfahren, bei dem Elemente aus der Figurenrede</w:t>
      </w:r>
    </w:p>
    <w:p w14:paraId="196AFED2" w14:textId="3ACEB676" w:rsidR="001B602C" w:rsidRDefault="00315790" w:rsidP="00C078FE">
      <w:pPr>
        <w:pStyle w:val="Listenabsatz"/>
        <w:tabs>
          <w:tab w:val="left" w:pos="1276"/>
        </w:tabs>
        <w:spacing w:after="120" w:line="360" w:lineRule="auto"/>
        <w:ind w:left="1276"/>
        <w:jc w:val="both"/>
        <w:rPr>
          <w:rFonts w:asciiTheme="minorHAnsi" w:eastAsia="Times New Roman" w:hAnsiTheme="minorHAnsi" w:cstheme="minorHAnsi"/>
          <w:lang w:eastAsia="de-DE"/>
        </w:rPr>
      </w:pPr>
      <w:r w:rsidRPr="001B602C">
        <w:rPr>
          <w:rFonts w:asciiTheme="minorHAnsi" w:eastAsia="Times New Roman" w:hAnsiTheme="minorHAnsi" w:cstheme="minorHAnsi"/>
          <w:lang w:eastAsia="de-DE"/>
        </w:rPr>
        <w:t>(z. B. Wertungen oder Formulierungen) vom Erzähler in dessen eigener Rede übernommen werden; der Erzähler „steckt“ sich (in seinen Formulierungen, in seiner Weltsicht) quasi bei den Figuren „an“.</w:t>
      </w:r>
    </w:p>
    <w:p w14:paraId="0895B3ED" w14:textId="119B6E19" w:rsidR="00F95B23" w:rsidRPr="001B602C" w:rsidRDefault="00C078FE" w:rsidP="00B5152B">
      <w:pPr>
        <w:pStyle w:val="Listenabsatz"/>
        <w:tabs>
          <w:tab w:val="left" w:pos="1276"/>
        </w:tabs>
        <w:spacing w:after="120" w:line="360" w:lineRule="auto"/>
        <w:ind w:left="1416" w:hanging="696"/>
        <w:jc w:val="both"/>
        <w:rPr>
          <w:rFonts w:asciiTheme="minorHAnsi" w:eastAsia="Times New Roman" w:hAnsiTheme="minorHAnsi" w:cstheme="minorHAnsi"/>
          <w:lang w:eastAsia="de-DE"/>
        </w:rPr>
        <w:sectPr w:rsidR="00F95B23" w:rsidRPr="001B602C" w:rsidSect="00742F3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1134" w:bottom="1134" w:left="1134" w:header="425" w:footer="851" w:gutter="0"/>
          <w:lnNumType w:countBy="5" w:restart="newSection"/>
          <w:cols w:space="708"/>
          <w:docGrid w:linePitch="360"/>
        </w:sectPr>
      </w:pPr>
      <w:r>
        <w:rPr>
          <w:rFonts w:asciiTheme="minorHAnsi" w:eastAsia="Times New Roman" w:hAnsiTheme="minorHAnsi" w:cstheme="minorHAnsi"/>
          <w:lang w:eastAsia="de-DE"/>
        </w:rPr>
        <w:t>c</w:t>
      </w:r>
      <w:r w:rsidR="00495F1F">
        <w:rPr>
          <w:rFonts w:asciiTheme="minorHAnsi" w:eastAsia="Times New Roman" w:hAnsiTheme="minorHAnsi" w:cstheme="minorHAnsi"/>
          <w:lang w:eastAsia="de-DE"/>
        </w:rPr>
        <w:t xml:space="preserve">) </w:t>
      </w:r>
      <w:r w:rsidR="00495F1F">
        <w:rPr>
          <w:rFonts w:asciiTheme="minorHAnsi" w:eastAsia="Times New Roman" w:hAnsiTheme="minorHAnsi" w:cstheme="minorHAnsi"/>
          <w:lang w:eastAsia="de-DE"/>
        </w:rPr>
        <w:tab/>
      </w:r>
      <w:r w:rsidR="00315790" w:rsidRPr="001B602C">
        <w:rPr>
          <w:rFonts w:asciiTheme="minorHAnsi" w:eastAsia="Times New Roman" w:hAnsiTheme="minorHAnsi" w:cstheme="minorHAnsi"/>
          <w:lang w:eastAsia="de-DE"/>
        </w:rPr>
        <w:t>Uneindeutigkeit erzeugen, Denkanstoß für den Leser geben; Spiel mit Sprache; problematisieren, wessen Weltsicht im Text gerade präsentiert wird</w:t>
      </w:r>
      <w:r w:rsidR="0076238D">
        <w:rPr>
          <w:rFonts w:asciiTheme="minorHAnsi" w:eastAsia="Times New Roman" w:hAnsiTheme="minorHAnsi" w:cstheme="minorHAnsi"/>
          <w:lang w:eastAsia="de-DE"/>
        </w:rPr>
        <w:t xml:space="preserve"> usw.</w:t>
      </w:r>
    </w:p>
    <w:p w14:paraId="0B2B5BCD" w14:textId="21FEAAFB" w:rsidR="00756769" w:rsidRPr="00084231" w:rsidRDefault="00D5071E" w:rsidP="00D5071E">
      <w:pPr>
        <w:pStyle w:val="Listenabsatz"/>
        <w:numPr>
          <w:ilvl w:val="0"/>
          <w:numId w:val="40"/>
        </w:numPr>
        <w:spacing w:after="120" w:line="240" w:lineRule="auto"/>
        <w:jc w:val="both"/>
        <w:rPr>
          <w:rFonts w:asciiTheme="minorHAnsi" w:eastAsia="Times New Roman" w:hAnsiTheme="minorHAnsi" w:cstheme="minorHAnsi"/>
          <w:sz w:val="22"/>
          <w:lang w:eastAsia="de-DE"/>
        </w:rPr>
      </w:pPr>
      <w:r w:rsidRPr="00084231">
        <w:rPr>
          <w:rFonts w:asciiTheme="minorHAnsi" w:eastAsia="Times New Roman" w:hAnsiTheme="minorHAnsi" w:cstheme="minorHAnsi"/>
          <w:sz w:val="22"/>
          <w:lang w:eastAsia="de-DE"/>
        </w:rPr>
        <w:lastRenderedPageBreak/>
        <w:t>b) Mögliche Textstellen für erlebte Rede, uneigentliches Erzählen und Erzählerkommentare (Auswahl); die an der Zeichensetzung leicht erkennbare direkte Figurenrede (</w:t>
      </w:r>
      <w:r w:rsidRPr="00084231">
        <w:rPr>
          <w:rFonts w:asciiTheme="minorHAnsi" w:eastAsia="Times New Roman" w:hAnsiTheme="minorHAnsi" w:cstheme="minorHAnsi"/>
          <w:b/>
          <w:sz w:val="22"/>
          <w:lang w:eastAsia="de-DE"/>
        </w:rPr>
        <w:t>» «</w:t>
      </w:r>
      <w:r w:rsidRPr="00084231">
        <w:rPr>
          <w:rFonts w:asciiTheme="minorHAnsi" w:eastAsia="Times New Roman" w:hAnsiTheme="minorHAnsi" w:cstheme="minorHAnsi"/>
          <w:sz w:val="22"/>
          <w:lang w:eastAsia="de-DE"/>
        </w:rPr>
        <w:t>) die direkte Wiedergabe der Gedanken einzelner Figuren (</w:t>
      </w:r>
      <w:r w:rsidRPr="00084231">
        <w:rPr>
          <w:rFonts w:asciiTheme="minorHAnsi" w:eastAsia="Times New Roman" w:hAnsiTheme="minorHAnsi" w:cstheme="minorHAnsi"/>
          <w:b/>
          <w:sz w:val="22"/>
          <w:lang w:eastAsia="de-DE"/>
        </w:rPr>
        <w:t>› ‹</w:t>
      </w:r>
      <w:r w:rsidRPr="00084231">
        <w:rPr>
          <w:rFonts w:asciiTheme="minorHAnsi" w:eastAsia="Times New Roman" w:hAnsiTheme="minorHAnsi" w:cstheme="minorHAnsi"/>
          <w:sz w:val="22"/>
          <w:lang w:eastAsia="de-DE"/>
        </w:rPr>
        <w:t>) sind nicht aufgeführt:</w:t>
      </w:r>
    </w:p>
    <w:tbl>
      <w:tblPr>
        <w:tblStyle w:val="Tabellenraster"/>
        <w:tblW w:w="15088" w:type="dxa"/>
        <w:tblInd w:w="421" w:type="dxa"/>
        <w:tblLook w:val="04A0" w:firstRow="1" w:lastRow="0" w:firstColumn="1" w:lastColumn="0" w:noHBand="0" w:noVBand="1"/>
        <w:tblCaption w:val="Tabelle mit roter Linie unter Kopfzeile"/>
        <w:tblDescription w:val="leer"/>
      </w:tblPr>
      <w:tblGrid>
        <w:gridCol w:w="2218"/>
        <w:gridCol w:w="6305"/>
        <w:gridCol w:w="6565"/>
      </w:tblGrid>
      <w:tr w:rsidR="00084231" w:rsidRPr="00084231" w14:paraId="32EDCDF5" w14:textId="77777777" w:rsidTr="00084231">
        <w:trPr>
          <w:cantSplit/>
          <w:trHeight w:val="276"/>
          <w:tblHeader/>
        </w:trPr>
        <w:tc>
          <w:tcPr>
            <w:tcW w:w="2218" w:type="dxa"/>
            <w:shd w:val="clear" w:color="auto" w:fill="D9D9D9" w:themeFill="background1" w:themeFillShade="D9"/>
          </w:tcPr>
          <w:p w14:paraId="7BA30D1F"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S. 40-42</w:t>
            </w:r>
          </w:p>
        </w:tc>
        <w:tc>
          <w:tcPr>
            <w:tcW w:w="6305" w:type="dxa"/>
            <w:shd w:val="clear" w:color="auto" w:fill="D9D9D9" w:themeFill="background1" w:themeFillShade="D9"/>
          </w:tcPr>
          <w:p w14:paraId="393B59D2"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Textstelle</w:t>
            </w:r>
          </w:p>
        </w:tc>
        <w:tc>
          <w:tcPr>
            <w:tcW w:w="6565" w:type="dxa"/>
            <w:shd w:val="clear" w:color="auto" w:fill="D9D9D9" w:themeFill="background1" w:themeFillShade="D9"/>
          </w:tcPr>
          <w:p w14:paraId="34F194FF"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Kommentar</w:t>
            </w:r>
          </w:p>
        </w:tc>
      </w:tr>
      <w:tr w:rsidR="00084231" w:rsidRPr="00084231" w14:paraId="6092AB32" w14:textId="77777777" w:rsidTr="00084231">
        <w:trPr>
          <w:cantSplit/>
          <w:trHeight w:val="318"/>
          <w:tblHeader/>
        </w:trPr>
        <w:tc>
          <w:tcPr>
            <w:tcW w:w="2218" w:type="dxa"/>
          </w:tcPr>
          <w:p w14:paraId="6803093E"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Erlebte Rede</w:t>
            </w:r>
          </w:p>
        </w:tc>
        <w:tc>
          <w:tcPr>
            <w:tcW w:w="6305" w:type="dxa"/>
          </w:tcPr>
          <w:p w14:paraId="5786762D"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„ein Schwarzer, die waren gutmütig [bis] zerrissen einem den Unterleib“</w:t>
            </w:r>
          </w:p>
        </w:tc>
        <w:tc>
          <w:tcPr>
            <w:tcW w:w="6565" w:type="dxa"/>
          </w:tcPr>
          <w:p w14:paraId="5C707057"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Rede der Frau</w:t>
            </w:r>
          </w:p>
        </w:tc>
      </w:tr>
      <w:tr w:rsidR="00084231" w:rsidRPr="00084231" w14:paraId="15FFDAAB" w14:textId="77777777" w:rsidTr="00084231">
        <w:trPr>
          <w:cantSplit/>
          <w:trHeight w:val="677"/>
          <w:tblHeader/>
        </w:trPr>
        <w:tc>
          <w:tcPr>
            <w:tcW w:w="2218" w:type="dxa"/>
          </w:tcPr>
          <w:p w14:paraId="75BE8516"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Uneigentliches Erzählen</w:t>
            </w:r>
          </w:p>
        </w:tc>
        <w:tc>
          <w:tcPr>
            <w:tcW w:w="6305" w:type="dxa"/>
          </w:tcPr>
          <w:p w14:paraId="29049AB9"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„Odysseus voran [bis] alt, müde“ (S. 40 mittig)</w:t>
            </w:r>
          </w:p>
          <w:p w14:paraId="30B07D41"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„die leichte Last [bis] die Mädchen“ (S. 40 unten))</w:t>
            </w:r>
          </w:p>
        </w:tc>
        <w:tc>
          <w:tcPr>
            <w:tcW w:w="6565" w:type="dxa"/>
          </w:tcPr>
          <w:p w14:paraId="7DC1FC7A"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Wertungen (O. als „großer König“, „guter Auftrag“) und Wahrnehmung der Musik von der Figur Josef beeinflusst</w:t>
            </w:r>
          </w:p>
        </w:tc>
      </w:tr>
      <w:tr w:rsidR="00084231" w:rsidRPr="00084231" w14:paraId="0B4406A3" w14:textId="77777777" w:rsidTr="00084231">
        <w:trPr>
          <w:cantSplit/>
          <w:trHeight w:val="313"/>
          <w:tblHeader/>
        </w:trPr>
        <w:tc>
          <w:tcPr>
            <w:tcW w:w="2218" w:type="dxa"/>
          </w:tcPr>
          <w:p w14:paraId="13749FD3"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7C2422FD"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„Eine Frau stand vor [bis] den N[…] vorübergehen“ (S. 41 oben)</w:t>
            </w:r>
          </w:p>
        </w:tc>
        <w:tc>
          <w:tcPr>
            <w:tcW w:w="6565" w:type="dxa"/>
          </w:tcPr>
          <w:p w14:paraId="115F2CBD"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N-Wort von der Wahrnehmung der Frau beeinflusst?</w:t>
            </w:r>
          </w:p>
        </w:tc>
      </w:tr>
      <w:tr w:rsidR="00084231" w:rsidRPr="00084231" w14:paraId="5B489C69" w14:textId="77777777" w:rsidTr="00084231">
        <w:trPr>
          <w:cantSplit/>
          <w:trHeight w:val="488"/>
          <w:tblHeader/>
        </w:trPr>
        <w:tc>
          <w:tcPr>
            <w:tcW w:w="2218" w:type="dxa"/>
          </w:tcPr>
          <w:p w14:paraId="4BBF42A0"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036BE2CC"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„sie ließen die </w:t>
            </w:r>
            <w:proofErr w:type="spellStart"/>
            <w:r w:rsidRPr="00084231">
              <w:rPr>
                <w:rFonts w:asciiTheme="minorHAnsi" w:eastAsia="Times New Roman" w:hAnsiTheme="minorHAnsi" w:cstheme="minorHAnsi"/>
                <w:sz w:val="18"/>
                <w:lang w:eastAsia="de-DE"/>
              </w:rPr>
              <w:t>Wisperer</w:t>
            </w:r>
            <w:proofErr w:type="spellEnd"/>
            <w:r w:rsidRPr="00084231">
              <w:rPr>
                <w:rFonts w:asciiTheme="minorHAnsi" w:eastAsia="Times New Roman" w:hAnsiTheme="minorHAnsi" w:cstheme="minorHAnsi"/>
                <w:sz w:val="18"/>
                <w:lang w:eastAsia="de-DE"/>
              </w:rPr>
              <w:t xml:space="preserve"> stehen [bis] watschelte in seinem Sog.“ (S. 42 oben)</w:t>
            </w:r>
          </w:p>
        </w:tc>
        <w:tc>
          <w:tcPr>
            <w:tcW w:w="6565" w:type="dxa"/>
          </w:tcPr>
          <w:p w14:paraId="5CE86A73"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Attribuierung O.s als „mächtig“ von der Figur J. beeinflusst?</w:t>
            </w:r>
          </w:p>
        </w:tc>
      </w:tr>
      <w:tr w:rsidR="00084231" w:rsidRPr="00084231" w14:paraId="168E804F" w14:textId="77777777" w:rsidTr="00084231">
        <w:trPr>
          <w:cantSplit/>
          <w:trHeight w:val="197"/>
          <w:tblHeader/>
        </w:trPr>
        <w:tc>
          <w:tcPr>
            <w:tcW w:w="2218" w:type="dxa"/>
          </w:tcPr>
          <w:p w14:paraId="0BA551CC"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Eindeutiger Erzählertext</w:t>
            </w:r>
          </w:p>
        </w:tc>
        <w:tc>
          <w:tcPr>
            <w:tcW w:w="6305" w:type="dxa"/>
          </w:tcPr>
          <w:p w14:paraId="603FB6EE"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„Maden am Speck [bis] Opfer des Krieges.“ (S. 41 unten)</w:t>
            </w:r>
          </w:p>
        </w:tc>
        <w:tc>
          <w:tcPr>
            <w:tcW w:w="6565" w:type="dxa"/>
          </w:tcPr>
          <w:p w14:paraId="0759AEAB"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Wertungen des Erzählers</w:t>
            </w:r>
          </w:p>
        </w:tc>
      </w:tr>
      <w:tr w:rsidR="00084231" w:rsidRPr="00084231" w14:paraId="05C9C1BA" w14:textId="77777777" w:rsidTr="00084231">
        <w:trPr>
          <w:cantSplit/>
          <w:trHeight w:val="370"/>
          <w:tblHeader/>
        </w:trPr>
        <w:tc>
          <w:tcPr>
            <w:tcW w:w="2218" w:type="dxa"/>
          </w:tcPr>
          <w:p w14:paraId="73DD144A"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p>
        </w:tc>
        <w:tc>
          <w:tcPr>
            <w:tcW w:w="6305" w:type="dxa"/>
          </w:tcPr>
          <w:p w14:paraId="03604091"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„Die Verkehrsampel sprang auf Rot [bis] strömten über die Kreuzung“ (S. 42 unten) </w:t>
            </w:r>
          </w:p>
        </w:tc>
        <w:tc>
          <w:tcPr>
            <w:tcW w:w="6565" w:type="dxa"/>
          </w:tcPr>
          <w:p w14:paraId="1E999A86"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Funktion des Erzählers: Übergang zur nächsten Sequenz gestalten, Montagetechnik</w:t>
            </w:r>
          </w:p>
        </w:tc>
      </w:tr>
      <w:tr w:rsidR="00084231" w:rsidRPr="00084231" w14:paraId="3A6059B3" w14:textId="77777777" w:rsidTr="00084231">
        <w:trPr>
          <w:cantSplit/>
          <w:trHeight w:val="276"/>
          <w:tblHeader/>
        </w:trPr>
        <w:tc>
          <w:tcPr>
            <w:tcW w:w="2218" w:type="dxa"/>
            <w:shd w:val="clear" w:color="auto" w:fill="D9D9D9" w:themeFill="background1" w:themeFillShade="D9"/>
          </w:tcPr>
          <w:p w14:paraId="2819B525"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S. 75-77</w:t>
            </w:r>
          </w:p>
        </w:tc>
        <w:tc>
          <w:tcPr>
            <w:tcW w:w="6305" w:type="dxa"/>
            <w:shd w:val="clear" w:color="auto" w:fill="D9D9D9" w:themeFill="background1" w:themeFillShade="D9"/>
          </w:tcPr>
          <w:p w14:paraId="7D47053C"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Textstelle</w:t>
            </w:r>
          </w:p>
        </w:tc>
        <w:tc>
          <w:tcPr>
            <w:tcW w:w="6565" w:type="dxa"/>
            <w:shd w:val="clear" w:color="auto" w:fill="D9D9D9" w:themeFill="background1" w:themeFillShade="D9"/>
          </w:tcPr>
          <w:p w14:paraId="28A0C2DD"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Kommentar</w:t>
            </w:r>
          </w:p>
        </w:tc>
      </w:tr>
      <w:tr w:rsidR="00084231" w:rsidRPr="00084231" w14:paraId="7A2A1887" w14:textId="77777777" w:rsidTr="00084231">
        <w:trPr>
          <w:cantSplit/>
          <w:trHeight w:val="571"/>
          <w:tblHeader/>
        </w:trPr>
        <w:tc>
          <w:tcPr>
            <w:tcW w:w="2218" w:type="dxa"/>
          </w:tcPr>
          <w:p w14:paraId="1D5DF176"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Erlebte Rede</w:t>
            </w:r>
          </w:p>
        </w:tc>
        <w:tc>
          <w:tcPr>
            <w:tcW w:w="6305" w:type="dxa"/>
          </w:tcPr>
          <w:p w14:paraId="3804EFA5"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„was sie vorbereiteten, was ja auch ihn anging [bis] wenn alles gepackt war“ (S. 77 unten)</w:t>
            </w:r>
          </w:p>
        </w:tc>
        <w:tc>
          <w:tcPr>
            <w:tcW w:w="6565" w:type="dxa"/>
          </w:tcPr>
          <w:p w14:paraId="306A5420"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p>
        </w:tc>
      </w:tr>
      <w:tr w:rsidR="00084231" w:rsidRPr="00084231" w14:paraId="0BD0E876" w14:textId="77777777" w:rsidTr="00084231">
        <w:trPr>
          <w:cantSplit/>
          <w:trHeight w:val="766"/>
          <w:tblHeader/>
        </w:trPr>
        <w:tc>
          <w:tcPr>
            <w:tcW w:w="2218" w:type="dxa"/>
          </w:tcPr>
          <w:p w14:paraId="3BFBE921"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Uneigentliches Erzählen</w:t>
            </w:r>
          </w:p>
        </w:tc>
        <w:tc>
          <w:tcPr>
            <w:tcW w:w="6305" w:type="dxa"/>
          </w:tcPr>
          <w:p w14:paraId="4A2B7B04"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„Das fleißige kleine Mädchen war zum Denkmal gekommen [bis] vom </w:t>
            </w:r>
            <w:proofErr w:type="gramStart"/>
            <w:r w:rsidRPr="00084231">
              <w:rPr>
                <w:rFonts w:asciiTheme="minorHAnsi" w:eastAsia="Times New Roman" w:hAnsiTheme="minorHAnsi" w:cstheme="minorHAnsi"/>
                <w:sz w:val="18"/>
                <w:lang w:eastAsia="de-DE"/>
              </w:rPr>
              <w:t>N[</w:t>
            </w:r>
            <w:proofErr w:type="gramEnd"/>
            <w:r w:rsidRPr="00084231">
              <w:rPr>
                <w:rFonts w:asciiTheme="minorHAnsi" w:eastAsia="Times New Roman" w:hAnsiTheme="minorHAnsi" w:cstheme="minorHAnsi"/>
                <w:sz w:val="18"/>
                <w:lang w:eastAsia="de-DE"/>
              </w:rPr>
              <w:t>…] -seiner-Mutter-geschenkte-Banane.“ (S. 75 unten)</w:t>
            </w:r>
          </w:p>
        </w:tc>
        <w:tc>
          <w:tcPr>
            <w:tcW w:w="6565" w:type="dxa"/>
          </w:tcPr>
          <w:p w14:paraId="011B351A"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Formulierung, die der Erzähler von Heinz übernimmt</w:t>
            </w:r>
          </w:p>
        </w:tc>
      </w:tr>
      <w:tr w:rsidR="00084231" w:rsidRPr="00084231" w14:paraId="4621501B" w14:textId="77777777" w:rsidTr="00084231">
        <w:trPr>
          <w:cantSplit/>
          <w:trHeight w:val="489"/>
          <w:tblHeader/>
        </w:trPr>
        <w:tc>
          <w:tcPr>
            <w:tcW w:w="2218" w:type="dxa"/>
          </w:tcPr>
          <w:p w14:paraId="6872AB51"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12232D77"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„Er wollte genau wie die anderen Jungen sein [bis] nicht überall anerkannt.“ (S. 76 f.)</w:t>
            </w:r>
          </w:p>
        </w:tc>
        <w:tc>
          <w:tcPr>
            <w:tcW w:w="6565" w:type="dxa"/>
          </w:tcPr>
          <w:p w14:paraId="6A93E0BB"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Formulierung wirkt von Heinz angesteckt, bezieht sich auf seinen </w:t>
            </w:r>
            <w:proofErr w:type="spellStart"/>
            <w:r w:rsidRPr="00084231">
              <w:rPr>
                <w:rFonts w:asciiTheme="minorHAnsi" w:eastAsia="Times New Roman" w:hAnsiTheme="minorHAnsi" w:cstheme="minorHAnsi"/>
                <w:sz w:val="18"/>
                <w:lang w:eastAsia="de-DE"/>
              </w:rPr>
              <w:t>Werthoriziont</w:t>
            </w:r>
            <w:proofErr w:type="spellEnd"/>
            <w:r w:rsidRPr="00084231">
              <w:rPr>
                <w:rFonts w:asciiTheme="minorHAnsi" w:eastAsia="Times New Roman" w:hAnsiTheme="minorHAnsi" w:cstheme="minorHAnsi"/>
                <w:sz w:val="18"/>
                <w:lang w:eastAsia="de-DE"/>
              </w:rPr>
              <w:t xml:space="preserve"> („einheimisch“)</w:t>
            </w:r>
          </w:p>
        </w:tc>
      </w:tr>
      <w:tr w:rsidR="00084231" w:rsidRPr="00084231" w14:paraId="52D96FC9" w14:textId="77777777" w:rsidTr="00084231">
        <w:trPr>
          <w:cantSplit/>
          <w:trHeight w:val="276"/>
          <w:tblHeader/>
        </w:trPr>
        <w:tc>
          <w:tcPr>
            <w:tcW w:w="2218" w:type="dxa"/>
            <w:shd w:val="clear" w:color="auto" w:fill="D9D9D9" w:themeFill="background1" w:themeFillShade="D9"/>
          </w:tcPr>
          <w:p w14:paraId="070B046A"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S. 116-117</w:t>
            </w:r>
          </w:p>
        </w:tc>
        <w:tc>
          <w:tcPr>
            <w:tcW w:w="6305" w:type="dxa"/>
            <w:shd w:val="clear" w:color="auto" w:fill="D9D9D9" w:themeFill="background1" w:themeFillShade="D9"/>
          </w:tcPr>
          <w:p w14:paraId="4CB4F980"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Textstelle</w:t>
            </w:r>
          </w:p>
        </w:tc>
        <w:tc>
          <w:tcPr>
            <w:tcW w:w="6565" w:type="dxa"/>
            <w:shd w:val="clear" w:color="auto" w:fill="D9D9D9" w:themeFill="background1" w:themeFillShade="D9"/>
          </w:tcPr>
          <w:p w14:paraId="55D476AB"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Kommentar</w:t>
            </w:r>
          </w:p>
        </w:tc>
      </w:tr>
      <w:tr w:rsidR="00084231" w:rsidRPr="00084231" w14:paraId="7BB77FBE" w14:textId="77777777" w:rsidTr="00084231">
        <w:trPr>
          <w:cantSplit/>
          <w:trHeight w:val="182"/>
          <w:tblHeader/>
        </w:trPr>
        <w:tc>
          <w:tcPr>
            <w:tcW w:w="2218" w:type="dxa"/>
          </w:tcPr>
          <w:p w14:paraId="7AA260E9"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Erlebte Rede</w:t>
            </w:r>
          </w:p>
        </w:tc>
        <w:tc>
          <w:tcPr>
            <w:tcW w:w="6305" w:type="dxa"/>
          </w:tcPr>
          <w:p w14:paraId="426CC441"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„Er wollte das Kind. [bis] Wie konnte er sagen, was er fürchtete?“ (S. 117 oben)</w:t>
            </w:r>
          </w:p>
        </w:tc>
        <w:tc>
          <w:tcPr>
            <w:tcW w:w="6565" w:type="dxa"/>
          </w:tcPr>
          <w:p w14:paraId="61B1C3F5"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erlebte Rede Washingtons („er“)</w:t>
            </w:r>
          </w:p>
        </w:tc>
      </w:tr>
      <w:tr w:rsidR="00084231" w:rsidRPr="00084231" w14:paraId="438AC6A4" w14:textId="77777777" w:rsidTr="00084231">
        <w:trPr>
          <w:cantSplit/>
          <w:trHeight w:val="208"/>
          <w:tblHeader/>
        </w:trPr>
        <w:tc>
          <w:tcPr>
            <w:tcW w:w="2218" w:type="dxa"/>
          </w:tcPr>
          <w:p w14:paraId="49AC91E3"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7C6580A9"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„Wie sollte Washington es dem Arzt sagen? [bis] wenn alles in Ordnung war?“ (S. 117 mittig)</w:t>
            </w:r>
          </w:p>
        </w:tc>
        <w:tc>
          <w:tcPr>
            <w:tcW w:w="6565" w:type="dxa"/>
          </w:tcPr>
          <w:p w14:paraId="5D05D35F"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p>
        </w:tc>
      </w:tr>
      <w:tr w:rsidR="00084231" w:rsidRPr="00084231" w14:paraId="14F06CEF" w14:textId="77777777" w:rsidTr="00084231">
        <w:trPr>
          <w:cantSplit/>
          <w:trHeight w:val="65"/>
          <w:tblHeader/>
        </w:trPr>
        <w:tc>
          <w:tcPr>
            <w:tcW w:w="2218" w:type="dxa"/>
          </w:tcPr>
          <w:p w14:paraId="3DF36755"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3DCFF4FB"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„Was war mit diesem </w:t>
            </w:r>
            <w:proofErr w:type="gramStart"/>
            <w:r w:rsidRPr="00084231">
              <w:rPr>
                <w:rFonts w:asciiTheme="minorHAnsi" w:eastAsia="Times New Roman" w:hAnsiTheme="minorHAnsi" w:cstheme="minorHAnsi"/>
                <w:sz w:val="18"/>
                <w:lang w:eastAsia="de-DE"/>
              </w:rPr>
              <w:t>N[</w:t>
            </w:r>
            <w:proofErr w:type="gramEnd"/>
            <w:r w:rsidRPr="00084231">
              <w:rPr>
                <w:rFonts w:asciiTheme="minorHAnsi" w:eastAsia="Times New Roman" w:hAnsiTheme="minorHAnsi" w:cstheme="minorHAnsi"/>
                <w:sz w:val="18"/>
                <w:lang w:eastAsia="de-DE"/>
              </w:rPr>
              <w:t>…] los?“ (S. 117 unten)</w:t>
            </w:r>
          </w:p>
        </w:tc>
        <w:tc>
          <w:tcPr>
            <w:tcW w:w="6565" w:type="dxa"/>
          </w:tcPr>
          <w:p w14:paraId="6DF61780"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Erlebte Rede Frahms oder uneigentliches Erzählen</w:t>
            </w:r>
          </w:p>
        </w:tc>
      </w:tr>
      <w:tr w:rsidR="00084231" w:rsidRPr="00084231" w14:paraId="02A5692A" w14:textId="77777777" w:rsidTr="00084231">
        <w:trPr>
          <w:cantSplit/>
          <w:trHeight w:val="240"/>
          <w:tblHeader/>
        </w:trPr>
        <w:tc>
          <w:tcPr>
            <w:tcW w:w="2218" w:type="dxa"/>
          </w:tcPr>
          <w:p w14:paraId="668FC1CC"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340A990F"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„Die Sache war nicht zu machen. [bis] Hier drohte Schande.“ (S. 117 unten)</w:t>
            </w:r>
          </w:p>
        </w:tc>
        <w:tc>
          <w:tcPr>
            <w:tcW w:w="6565" w:type="dxa"/>
          </w:tcPr>
          <w:p w14:paraId="159EA826"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p>
        </w:tc>
      </w:tr>
      <w:tr w:rsidR="00084231" w:rsidRPr="00084231" w14:paraId="7C3EB17A" w14:textId="77777777" w:rsidTr="00084231">
        <w:trPr>
          <w:cantSplit/>
          <w:trHeight w:val="604"/>
          <w:tblHeader/>
        </w:trPr>
        <w:tc>
          <w:tcPr>
            <w:tcW w:w="2218" w:type="dxa"/>
          </w:tcPr>
          <w:p w14:paraId="1EC01BF2"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Uneigentliches Erzählen</w:t>
            </w:r>
          </w:p>
        </w:tc>
        <w:tc>
          <w:tcPr>
            <w:tcW w:w="6305" w:type="dxa"/>
          </w:tcPr>
          <w:p w14:paraId="4AFCC26C"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„Was brachten einem die Amerikaner? [bis] töten wollte,“ (S. 116 oben)</w:t>
            </w:r>
          </w:p>
        </w:tc>
        <w:tc>
          <w:tcPr>
            <w:tcW w:w="6565" w:type="dxa"/>
          </w:tcPr>
          <w:p w14:paraId="5DBB79DB"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erlebte Rede von Frau Behrend (ohne Pronomen der 3. Person) oder Reproduktion ihres Figurentexts in der Erzählerrede?</w:t>
            </w:r>
          </w:p>
        </w:tc>
      </w:tr>
      <w:tr w:rsidR="00084231" w:rsidRPr="00084231" w14:paraId="558AEFE2" w14:textId="77777777" w:rsidTr="00084231">
        <w:trPr>
          <w:cantSplit/>
          <w:trHeight w:val="47"/>
          <w:tblHeader/>
        </w:trPr>
        <w:tc>
          <w:tcPr>
            <w:tcW w:w="2218" w:type="dxa"/>
          </w:tcPr>
          <w:p w14:paraId="0C2B9D3E"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003C1A2F"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 xml:space="preserve">„Das Schreckliche konnte man nicht aussprechen. [bis] </w:t>
            </w:r>
            <w:proofErr w:type="spellStart"/>
            <w:r w:rsidRPr="00084231">
              <w:rPr>
                <w:rFonts w:asciiTheme="minorHAnsi" w:eastAsia="Times New Roman" w:hAnsiTheme="minorHAnsi" w:cstheme="minorHAnsi"/>
                <w:sz w:val="18"/>
                <w:lang w:eastAsia="de-DE"/>
              </w:rPr>
              <w:t>Verlorensein</w:t>
            </w:r>
            <w:proofErr w:type="spellEnd"/>
            <w:r w:rsidRPr="00084231">
              <w:rPr>
                <w:rFonts w:asciiTheme="minorHAnsi" w:eastAsia="Times New Roman" w:hAnsiTheme="minorHAnsi" w:cstheme="minorHAnsi"/>
                <w:sz w:val="18"/>
                <w:lang w:eastAsia="de-DE"/>
              </w:rPr>
              <w:t xml:space="preserve"> und Schande.“ (S. 116 mittig)</w:t>
            </w:r>
          </w:p>
        </w:tc>
        <w:tc>
          <w:tcPr>
            <w:tcW w:w="6565" w:type="dxa"/>
          </w:tcPr>
          <w:p w14:paraId="1CC53B91"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Wertungen von Frau Behrend beeinflusst (z.</w:t>
            </w:r>
            <w:r w:rsidRPr="00084231">
              <w:rPr>
                <w:sz w:val="18"/>
              </w:rPr>
              <w:t xml:space="preserve">B. „so erhebend zu lesen“) </w:t>
            </w:r>
          </w:p>
        </w:tc>
      </w:tr>
      <w:tr w:rsidR="00084231" w:rsidRPr="00084231" w14:paraId="285C05DF" w14:textId="77777777" w:rsidTr="00084231">
        <w:trPr>
          <w:cantSplit/>
          <w:trHeight w:val="144"/>
          <w:tblHeader/>
        </w:trPr>
        <w:tc>
          <w:tcPr>
            <w:tcW w:w="2218" w:type="dxa"/>
          </w:tcPr>
          <w:p w14:paraId="4E21A0E5"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p>
        </w:tc>
        <w:tc>
          <w:tcPr>
            <w:tcW w:w="6305" w:type="dxa"/>
          </w:tcPr>
          <w:p w14:paraId="7B264B54"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w:t>
            </w:r>
            <w:proofErr w:type="spellStart"/>
            <w:r w:rsidRPr="00084231">
              <w:rPr>
                <w:rFonts w:asciiTheme="minorHAnsi" w:eastAsia="Times New Roman" w:hAnsiTheme="minorHAnsi" w:cstheme="minorHAnsi"/>
                <w:sz w:val="18"/>
                <w:lang w:eastAsia="de-DE"/>
              </w:rPr>
              <w:t>daß</w:t>
            </w:r>
            <w:proofErr w:type="spellEnd"/>
            <w:r w:rsidRPr="00084231">
              <w:rPr>
                <w:rFonts w:asciiTheme="minorHAnsi" w:eastAsia="Times New Roman" w:hAnsiTheme="minorHAnsi" w:cstheme="minorHAnsi"/>
                <w:sz w:val="18"/>
                <w:lang w:eastAsia="de-DE"/>
              </w:rPr>
              <w:t xml:space="preserve"> der N[…] in dem dunklen Korridor [bis] </w:t>
            </w:r>
            <w:proofErr w:type="spellStart"/>
            <w:r w:rsidRPr="00084231">
              <w:rPr>
                <w:rFonts w:asciiTheme="minorHAnsi" w:eastAsia="Times New Roman" w:hAnsiTheme="minorHAnsi" w:cstheme="minorHAnsi"/>
                <w:sz w:val="18"/>
                <w:lang w:eastAsia="de-DE"/>
              </w:rPr>
              <w:t>blaß</w:t>
            </w:r>
            <w:proofErr w:type="spellEnd"/>
            <w:r w:rsidRPr="00084231">
              <w:rPr>
                <w:rFonts w:asciiTheme="minorHAnsi" w:eastAsia="Times New Roman" w:hAnsiTheme="minorHAnsi" w:cstheme="minorHAnsi"/>
                <w:sz w:val="18"/>
                <w:lang w:eastAsia="de-DE"/>
              </w:rPr>
              <w:t xml:space="preserve"> wurde“ (S. 117 unten)</w:t>
            </w:r>
          </w:p>
        </w:tc>
        <w:tc>
          <w:tcPr>
            <w:tcW w:w="6565" w:type="dxa"/>
          </w:tcPr>
          <w:p w14:paraId="0724C311" w14:textId="77777777" w:rsidR="00084231" w:rsidRPr="00084231" w:rsidRDefault="00084231" w:rsidP="00F54C40">
            <w:pPr>
              <w:spacing w:after="0" w:line="240" w:lineRule="auto"/>
              <w:jc w:val="both"/>
              <w:rPr>
                <w:sz w:val="18"/>
              </w:rPr>
            </w:pPr>
            <w:r w:rsidRPr="00084231">
              <w:rPr>
                <w:sz w:val="18"/>
              </w:rPr>
              <w:t>Formulierung Frahms</w:t>
            </w:r>
          </w:p>
        </w:tc>
      </w:tr>
      <w:tr w:rsidR="00084231" w:rsidRPr="00084231" w14:paraId="24466B41" w14:textId="77777777" w:rsidTr="00084231">
        <w:trPr>
          <w:cantSplit/>
          <w:trHeight w:val="170"/>
          <w:tblHeader/>
        </w:trPr>
        <w:tc>
          <w:tcPr>
            <w:tcW w:w="2218" w:type="dxa"/>
          </w:tcPr>
          <w:p w14:paraId="6D59F34E" w14:textId="77777777" w:rsidR="00084231" w:rsidRPr="00084231" w:rsidRDefault="00084231" w:rsidP="00F54C40">
            <w:pPr>
              <w:spacing w:after="0" w:line="240" w:lineRule="auto"/>
              <w:jc w:val="both"/>
              <w:rPr>
                <w:rFonts w:asciiTheme="minorHAnsi" w:eastAsia="Times New Roman" w:hAnsiTheme="minorHAnsi" w:cstheme="minorHAnsi"/>
                <w:b/>
                <w:sz w:val="18"/>
                <w:lang w:eastAsia="de-DE"/>
              </w:rPr>
            </w:pPr>
            <w:r w:rsidRPr="00084231">
              <w:rPr>
                <w:rFonts w:asciiTheme="minorHAnsi" w:eastAsia="Times New Roman" w:hAnsiTheme="minorHAnsi" w:cstheme="minorHAnsi"/>
                <w:b/>
                <w:sz w:val="18"/>
                <w:lang w:eastAsia="de-DE"/>
              </w:rPr>
              <w:t xml:space="preserve">Eindeutiger </w:t>
            </w:r>
            <w:r w:rsidRPr="00084231">
              <w:rPr>
                <w:rFonts w:asciiTheme="minorHAnsi" w:eastAsia="Times New Roman" w:hAnsiTheme="minorHAnsi" w:cstheme="minorHAnsi"/>
                <w:b/>
                <w:sz w:val="18"/>
                <w:lang w:eastAsia="de-DE"/>
              </w:rPr>
              <w:br/>
              <w:t>Erzählertext</w:t>
            </w:r>
          </w:p>
        </w:tc>
        <w:tc>
          <w:tcPr>
            <w:tcW w:w="6305" w:type="dxa"/>
          </w:tcPr>
          <w:p w14:paraId="2ED7F97D"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r w:rsidRPr="00084231">
              <w:rPr>
                <w:rFonts w:asciiTheme="minorHAnsi" w:eastAsia="Times New Roman" w:hAnsiTheme="minorHAnsi" w:cstheme="minorHAnsi"/>
                <w:sz w:val="18"/>
                <w:lang w:eastAsia="de-DE"/>
              </w:rPr>
              <w:t>„Frau Behrend weigerte sich, weiter darüber nachzudenken.“ (S. 116 oben)</w:t>
            </w:r>
          </w:p>
        </w:tc>
        <w:tc>
          <w:tcPr>
            <w:tcW w:w="6565" w:type="dxa"/>
          </w:tcPr>
          <w:p w14:paraId="2E8AF785" w14:textId="77777777" w:rsidR="00084231" w:rsidRPr="00084231" w:rsidRDefault="00084231" w:rsidP="00F54C40">
            <w:pPr>
              <w:spacing w:after="0" w:line="240" w:lineRule="auto"/>
              <w:jc w:val="both"/>
              <w:rPr>
                <w:rFonts w:asciiTheme="minorHAnsi" w:eastAsia="Times New Roman" w:hAnsiTheme="minorHAnsi" w:cstheme="minorHAnsi"/>
                <w:sz w:val="18"/>
                <w:lang w:eastAsia="de-DE"/>
              </w:rPr>
            </w:pPr>
          </w:p>
        </w:tc>
      </w:tr>
    </w:tbl>
    <w:p w14:paraId="77866277" w14:textId="77777777" w:rsidR="00084231" w:rsidRDefault="00084231" w:rsidP="00315790">
      <w:pPr>
        <w:tabs>
          <w:tab w:val="left" w:pos="7795"/>
        </w:tabs>
        <w:spacing w:after="120" w:line="360" w:lineRule="auto"/>
        <w:rPr>
          <w:rFonts w:asciiTheme="minorHAnsi" w:hAnsiTheme="minorHAnsi" w:cstheme="minorHAnsi"/>
        </w:rPr>
        <w:sectPr w:rsidR="00084231" w:rsidSect="00084231">
          <w:headerReference w:type="default" r:id="rId14"/>
          <w:pgSz w:w="16838" w:h="11906" w:orient="landscape" w:code="9"/>
          <w:pgMar w:top="720" w:right="720" w:bottom="720" w:left="720" w:header="425" w:footer="851" w:gutter="0"/>
          <w:lnNumType w:countBy="5" w:restart="newSection"/>
          <w:cols w:space="708"/>
          <w:docGrid w:linePitch="360"/>
        </w:sectPr>
      </w:pPr>
      <w:bookmarkStart w:id="0" w:name="_GoBack"/>
      <w:bookmarkEnd w:id="0"/>
    </w:p>
    <w:p w14:paraId="7C83DE94" w14:textId="12A1CC8D" w:rsidR="00495F1F" w:rsidRDefault="00495F1F" w:rsidP="00495F1F">
      <w:pPr>
        <w:spacing w:after="120" w:line="360" w:lineRule="auto"/>
        <w:ind w:left="708" w:hanging="708"/>
        <w:rPr>
          <w:rFonts w:asciiTheme="minorHAnsi" w:hAnsiTheme="minorHAnsi" w:cstheme="minorHAnsi"/>
        </w:rPr>
      </w:pPr>
      <w:r>
        <w:rPr>
          <w:rFonts w:asciiTheme="minorHAnsi" w:eastAsia="Times New Roman" w:hAnsiTheme="minorHAnsi" w:cstheme="minorHAnsi"/>
          <w:lang w:eastAsia="de-DE"/>
        </w:rPr>
        <w:lastRenderedPageBreak/>
        <w:t>c)</w:t>
      </w:r>
      <w:r>
        <w:rPr>
          <w:rFonts w:asciiTheme="minorHAnsi" w:eastAsia="Times New Roman" w:hAnsiTheme="minorHAnsi" w:cstheme="minorHAnsi"/>
          <w:lang w:eastAsia="de-DE"/>
        </w:rPr>
        <w:tab/>
      </w:r>
      <w:r w:rsidRPr="001C2C6E">
        <w:rPr>
          <w:rFonts w:asciiTheme="minorHAnsi" w:eastAsia="Times New Roman" w:hAnsiTheme="minorHAnsi" w:cstheme="minorHAnsi"/>
          <w:lang w:eastAsia="de-DE"/>
        </w:rPr>
        <w:t>Wirkung: Es ist nicht eindeutig, wer spricht</w:t>
      </w:r>
      <w:r>
        <w:rPr>
          <w:rFonts w:asciiTheme="minorHAnsi" w:eastAsia="Times New Roman" w:hAnsiTheme="minorHAnsi" w:cstheme="minorHAnsi"/>
          <w:lang w:eastAsia="de-DE"/>
        </w:rPr>
        <w:t>. Das bewirkt eine</w:t>
      </w:r>
      <w:r w:rsidRPr="001C2C6E">
        <w:rPr>
          <w:rFonts w:asciiTheme="minorHAnsi" w:eastAsia="Times New Roman" w:hAnsiTheme="minorHAnsi" w:cstheme="minorHAnsi"/>
          <w:lang w:eastAsia="de-DE"/>
        </w:rPr>
        <w:t xml:space="preserve"> erschwerte Wahrnehmung für den Leser, dessen Mitarbeit bei der Erschließung des Texts gefordert ist; </w:t>
      </w:r>
      <w:r>
        <w:rPr>
          <w:rFonts w:asciiTheme="minorHAnsi" w:eastAsia="Times New Roman" w:hAnsiTheme="minorHAnsi" w:cstheme="minorHAnsi"/>
          <w:lang w:eastAsia="de-DE"/>
        </w:rPr>
        <w:t>er</w:t>
      </w:r>
      <w:r w:rsidRPr="001C2C6E">
        <w:rPr>
          <w:rFonts w:asciiTheme="minorHAnsi" w:eastAsia="Times New Roman" w:hAnsiTheme="minorHAnsi" w:cstheme="minorHAnsi"/>
          <w:lang w:eastAsia="de-DE"/>
        </w:rPr>
        <w:t xml:space="preserve"> muss entscheiden, ob Formulierungen wie z.</w:t>
      </w:r>
      <w:r>
        <w:rPr>
          <w:rFonts w:asciiTheme="minorHAnsi" w:eastAsia="Times New Roman" w:hAnsiTheme="minorHAnsi" w:cstheme="minorHAnsi"/>
          <w:lang w:eastAsia="de-DE"/>
        </w:rPr>
        <w:t> </w:t>
      </w:r>
      <w:r w:rsidRPr="001C2C6E">
        <w:rPr>
          <w:rFonts w:asciiTheme="minorHAnsi" w:eastAsia="Times New Roman" w:hAnsiTheme="minorHAnsi" w:cstheme="minorHAnsi"/>
          <w:lang w:eastAsia="de-DE"/>
        </w:rPr>
        <w:t>B. das N-Wort dem Erzähler oder einzelnen Figuren zuzuordnen sind und welchen „Wertungsstandpunkt“ der Erzähler gegenüber dem Figurentext einnimmt</w:t>
      </w:r>
      <w:r>
        <w:rPr>
          <w:rFonts w:asciiTheme="minorHAnsi" w:eastAsia="Times New Roman" w:hAnsiTheme="minorHAnsi" w:cstheme="minorHAnsi"/>
          <w:lang w:eastAsia="de-DE"/>
        </w:rPr>
        <w:t>.</w:t>
      </w:r>
      <w:r w:rsidRPr="001C2C6E">
        <w:rPr>
          <w:rFonts w:asciiTheme="minorHAnsi" w:eastAsia="Times New Roman" w:hAnsiTheme="minorHAnsi" w:cstheme="minorHAnsi"/>
          <w:lang w:eastAsia="de-DE"/>
        </w:rPr>
        <w:t xml:space="preserve"> (M2): übernimmt der Erzähler diese Formulierungen unreflektiert</w:t>
      </w:r>
      <w:r>
        <w:rPr>
          <w:rFonts w:asciiTheme="minorHAnsi" w:eastAsia="Times New Roman" w:hAnsiTheme="minorHAnsi" w:cstheme="minorHAnsi"/>
          <w:lang w:eastAsia="de-DE"/>
        </w:rPr>
        <w:t xml:space="preserve"> </w:t>
      </w:r>
      <w:r w:rsidRPr="001C2C6E">
        <w:rPr>
          <w:rFonts w:asciiTheme="minorHAnsi" w:eastAsia="Times New Roman" w:hAnsiTheme="minorHAnsi" w:cstheme="minorHAnsi"/>
          <w:lang w:eastAsia="de-DE"/>
        </w:rPr>
        <w:t>und verdient entsprechend Kritik für seine rassistische Sprachverwendung) oder gibt er Aussagen der Figuren distanziert wieder, um deren (!) rassistischen Sprachgebrauch offenzulegen? Die gesamte Struktur von Koeppens Roman legt die zweite Lesart nahe. In jedem Fall wird über die Uneindeutigkeit die Aufmerksamkeit des Rezipienten auf genau diese Sprachverwendung gelenkt.</w:t>
      </w:r>
    </w:p>
    <w:sectPr w:rsidR="00495F1F" w:rsidSect="00C478DE">
      <w:pgSz w:w="11906" w:h="16838" w:code="9"/>
      <w:pgMar w:top="851" w:right="1134" w:bottom="1134" w:left="1134" w:header="425" w:footer="851"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D9864" w14:textId="77777777" w:rsidR="00AD4FA7" w:rsidRDefault="00AD4FA7" w:rsidP="00263F44">
      <w:r>
        <w:separator/>
      </w:r>
    </w:p>
  </w:endnote>
  <w:endnote w:type="continuationSeparator" w:id="0">
    <w:p w14:paraId="0664597C" w14:textId="77777777" w:rsidR="00AD4FA7" w:rsidRDefault="00AD4FA7"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DD307" w14:textId="77777777" w:rsidR="005E21FC" w:rsidRDefault="005E21FC">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4FBAE" w14:textId="3B3A88F0" w:rsidR="00294746" w:rsidRPr="00120371" w:rsidRDefault="00294746" w:rsidP="00294746">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2C49E2">
      <w:rPr>
        <w:noProof/>
        <w:sz w:val="20"/>
        <w:szCs w:val="20"/>
      </w:rPr>
      <w:t>20.04.2024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084231">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084231">
      <w:rPr>
        <w:noProof/>
        <w:sz w:val="20"/>
        <w:szCs w:val="20"/>
      </w:rPr>
      <w:t>4</w:t>
    </w:r>
    <w:r w:rsidRPr="00120371">
      <w:rPr>
        <w:sz w:val="20"/>
        <w:szCs w:val="20"/>
      </w:rPr>
      <w:fldChar w:fldCharType="end"/>
    </w:r>
  </w:p>
  <w:p w14:paraId="5966ED4F" w14:textId="32FF7A56" w:rsidR="00EC3925" w:rsidRPr="00294746" w:rsidRDefault="00EC3925" w:rsidP="00294746">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AF8BF" w14:textId="77777777" w:rsidR="005E21FC" w:rsidRDefault="005E21FC">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3020E" w14:textId="77777777" w:rsidR="00AD4FA7" w:rsidRDefault="00AD4FA7" w:rsidP="00263F44">
      <w:r>
        <w:separator/>
      </w:r>
    </w:p>
  </w:footnote>
  <w:footnote w:type="continuationSeparator" w:id="0">
    <w:p w14:paraId="665DC223" w14:textId="77777777" w:rsidR="00AD4FA7" w:rsidRDefault="00AD4FA7"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A98C" w14:textId="77777777" w:rsidR="005E21FC" w:rsidRDefault="005E21FC">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FEAF" w14:textId="0FC21540" w:rsidR="00EC3925" w:rsidRDefault="00EC3925" w:rsidP="008B314A">
    <w:pPr>
      <w:pStyle w:val="Kopfzeile"/>
      <w:spacing w:after="400"/>
      <w:jc w:val="right"/>
    </w:pPr>
    <w:r>
      <w:rPr>
        <w:noProof/>
        <w:lang w:eastAsia="de-DE"/>
      </w:rPr>
      <w:drawing>
        <wp:inline distT="0" distB="0" distL="0" distR="0" wp14:anchorId="4A90C50C" wp14:editId="2EE4364D">
          <wp:extent cx="407670" cy="259080"/>
          <wp:effectExtent l="0" t="0" r="0" b="0"/>
          <wp:docPr id="2" name="Grafik 2"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4116A4">
      <w:rPr>
        <w:b/>
        <w:bCs/>
      </w:rPr>
      <w:t xml:space="preserve">N-Wort in </w:t>
    </w:r>
    <w:r w:rsidR="004116A4" w:rsidRPr="00B17E09">
      <w:rPr>
        <w:b/>
        <w:bCs/>
        <w:i/>
      </w:rPr>
      <w:t>Tauben im Gras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CE0BA" w14:textId="77777777" w:rsidR="005E21FC" w:rsidRDefault="005E21FC">
    <w:pPr>
      <w:pStyle w:val="Kopfzeil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2671" w14:textId="7B65D8E0" w:rsidR="008C2806" w:rsidRDefault="00482A7C" w:rsidP="00DB5C48">
    <w:pPr>
      <w:pStyle w:val="Kopfzeile"/>
    </w:pPr>
    <w:r>
      <w:rPr>
        <w:noProof/>
        <w:lang w:eastAsia="de-DE"/>
      </w:rPr>
      <w:drawing>
        <wp:inline distT="0" distB="0" distL="0" distR="0" wp14:anchorId="153A26EE" wp14:editId="72F43573">
          <wp:extent cx="407670" cy="259080"/>
          <wp:effectExtent l="0" t="0" r="0" b="0"/>
          <wp:docPr id="1991544338" name="Grafik 1991544338"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t xml:space="preserve">Unterrichtsprojekte Deutsch - Wolfgang Koeppen – </w:t>
    </w:r>
    <w:r w:rsidRPr="005872B3">
      <w:rPr>
        <w:i/>
      </w:rPr>
      <w:t>Tauben im Gras</w:t>
    </w:r>
    <w:r>
      <w:t xml:space="preserve"> – Sprache im Roma</w:t>
    </w:r>
    <w:r w:rsidR="008C2806">
      <w:t>n</w:t>
    </w:r>
  </w:p>
  <w:p w14:paraId="55E6E05D" w14:textId="5EF65F84" w:rsidR="00482A7C" w:rsidRDefault="00482A7C" w:rsidP="005E21FC">
    <w:pPr>
      <w:pStyle w:val="Kopfzeile"/>
      <w:spacing w:after="240"/>
      <w:jc w:val="right"/>
    </w:pPr>
    <w:r>
      <w:rPr>
        <w:b/>
        <w:bCs/>
      </w:rPr>
      <w:t xml:space="preserve">Sprachsensibilität und Dekolonialisierung von Sprache – N-Wort in </w:t>
    </w:r>
    <w:r w:rsidRPr="00B17E09">
      <w:rPr>
        <w:b/>
        <w:bCs/>
        <w:i/>
      </w:rPr>
      <w:t>Tauben im Gras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ACD6A76"/>
    <w:multiLevelType w:val="hybridMultilevel"/>
    <w:tmpl w:val="2C32E99E"/>
    <w:lvl w:ilvl="0" w:tplc="0407000F">
      <w:start w:val="1"/>
      <w:numFmt w:val="decimal"/>
      <w:lvlText w:val="%1."/>
      <w:lvlJc w:val="left"/>
      <w:pPr>
        <w:ind w:left="3563" w:hanging="360"/>
      </w:pPr>
      <w:rPr>
        <w:rFonts w:hint="default"/>
      </w:rPr>
    </w:lvl>
    <w:lvl w:ilvl="1" w:tplc="04070019" w:tentative="1">
      <w:start w:val="1"/>
      <w:numFmt w:val="lowerLetter"/>
      <w:lvlText w:val="%2."/>
      <w:lvlJc w:val="left"/>
      <w:pPr>
        <w:ind w:left="4283" w:hanging="360"/>
      </w:pPr>
    </w:lvl>
    <w:lvl w:ilvl="2" w:tplc="0407001B" w:tentative="1">
      <w:start w:val="1"/>
      <w:numFmt w:val="lowerRoman"/>
      <w:lvlText w:val="%3."/>
      <w:lvlJc w:val="right"/>
      <w:pPr>
        <w:ind w:left="5003" w:hanging="180"/>
      </w:pPr>
    </w:lvl>
    <w:lvl w:ilvl="3" w:tplc="0407000F" w:tentative="1">
      <w:start w:val="1"/>
      <w:numFmt w:val="decimal"/>
      <w:lvlText w:val="%4."/>
      <w:lvlJc w:val="left"/>
      <w:pPr>
        <w:ind w:left="5723" w:hanging="360"/>
      </w:pPr>
    </w:lvl>
    <w:lvl w:ilvl="4" w:tplc="04070019" w:tentative="1">
      <w:start w:val="1"/>
      <w:numFmt w:val="lowerLetter"/>
      <w:lvlText w:val="%5."/>
      <w:lvlJc w:val="left"/>
      <w:pPr>
        <w:ind w:left="6443" w:hanging="360"/>
      </w:pPr>
    </w:lvl>
    <w:lvl w:ilvl="5" w:tplc="0407001B" w:tentative="1">
      <w:start w:val="1"/>
      <w:numFmt w:val="lowerRoman"/>
      <w:lvlText w:val="%6."/>
      <w:lvlJc w:val="right"/>
      <w:pPr>
        <w:ind w:left="7163" w:hanging="180"/>
      </w:pPr>
    </w:lvl>
    <w:lvl w:ilvl="6" w:tplc="0407000F" w:tentative="1">
      <w:start w:val="1"/>
      <w:numFmt w:val="decimal"/>
      <w:lvlText w:val="%7."/>
      <w:lvlJc w:val="left"/>
      <w:pPr>
        <w:ind w:left="7883" w:hanging="360"/>
      </w:pPr>
    </w:lvl>
    <w:lvl w:ilvl="7" w:tplc="04070019" w:tentative="1">
      <w:start w:val="1"/>
      <w:numFmt w:val="lowerLetter"/>
      <w:lvlText w:val="%8."/>
      <w:lvlJc w:val="left"/>
      <w:pPr>
        <w:ind w:left="8603" w:hanging="360"/>
      </w:pPr>
    </w:lvl>
    <w:lvl w:ilvl="8" w:tplc="0407001B" w:tentative="1">
      <w:start w:val="1"/>
      <w:numFmt w:val="lowerRoman"/>
      <w:lvlText w:val="%9."/>
      <w:lvlJc w:val="right"/>
      <w:pPr>
        <w:ind w:left="9323" w:hanging="180"/>
      </w:pPr>
    </w:lvl>
  </w:abstractNum>
  <w:abstractNum w:abstractNumId="16"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05B2E66"/>
    <w:multiLevelType w:val="hybridMultilevel"/>
    <w:tmpl w:val="769010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1"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58C429EE"/>
    <w:multiLevelType w:val="hybridMultilevel"/>
    <w:tmpl w:val="F716CB44"/>
    <w:lvl w:ilvl="0" w:tplc="A3C44856">
      <w:start w:val="1"/>
      <w:numFmt w:val="lowerLetter"/>
      <w:lvlText w:val="%1)"/>
      <w:lvlJc w:val="left"/>
      <w:pPr>
        <w:ind w:left="1440" w:hanging="360"/>
      </w:pPr>
      <w:rPr>
        <w:rFonts w:asciiTheme="minorHAnsi" w:eastAsia="Times New Roman" w:hAnsiTheme="minorHAnsi" w:cstheme="minorHAnsi"/>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4" w15:restartNumberingAfterBreak="0">
    <w:nsid w:val="58E51BE9"/>
    <w:multiLevelType w:val="hybridMultilevel"/>
    <w:tmpl w:val="495A55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6"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8"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11"/>
  </w:num>
  <w:num w:numId="3">
    <w:abstractNumId w:val="22"/>
  </w:num>
  <w:num w:numId="4">
    <w:abstractNumId w:val="20"/>
  </w:num>
  <w:num w:numId="5">
    <w:abstractNumId w:val="20"/>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7"/>
  </w:num>
  <w:num w:numId="9">
    <w:abstractNumId w:val="13"/>
  </w:num>
  <w:num w:numId="10">
    <w:abstractNumId w:val="27"/>
  </w:num>
  <w:num w:numId="11">
    <w:abstractNumId w:val="19"/>
  </w:num>
  <w:num w:numId="12">
    <w:abstractNumId w:val="27"/>
  </w:num>
  <w:num w:numId="13">
    <w:abstractNumId w:val="25"/>
  </w:num>
  <w:num w:numId="14">
    <w:abstractNumId w:val="16"/>
  </w:num>
  <w:num w:numId="15">
    <w:abstractNumId w:val="17"/>
  </w:num>
  <w:num w:numId="16">
    <w:abstractNumId w:val="28"/>
  </w:num>
  <w:num w:numId="17">
    <w:abstractNumId w:val="12"/>
  </w:num>
  <w:num w:numId="18">
    <w:abstractNumId w:val="21"/>
  </w:num>
  <w:num w:numId="19">
    <w:abstractNumId w:val="25"/>
    <w:lvlOverride w:ilvl="0">
      <w:startOverride w:val="1"/>
    </w:lvlOverride>
  </w:num>
  <w:num w:numId="20">
    <w:abstractNumId w:val="16"/>
    <w:lvlOverride w:ilvl="0">
      <w:startOverride w:val="1"/>
    </w:lvlOverride>
  </w:num>
  <w:num w:numId="21">
    <w:abstractNumId w:val="25"/>
    <w:lvlOverride w:ilvl="0">
      <w:startOverride w:val="1"/>
    </w:lvlOverride>
  </w:num>
  <w:num w:numId="22">
    <w:abstractNumId w:val="25"/>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9"/>
  </w:num>
  <w:num w:numId="34">
    <w:abstractNumId w:val="21"/>
  </w:num>
  <w:num w:numId="35">
    <w:abstractNumId w:val="25"/>
    <w:lvlOverride w:ilvl="0">
      <w:startOverride w:val="1"/>
    </w:lvlOverride>
  </w:num>
  <w:num w:numId="36">
    <w:abstractNumId w:val="25"/>
    <w:lvlOverride w:ilvl="0">
      <w:startOverride w:val="1"/>
    </w:lvlOverride>
  </w:num>
  <w:num w:numId="37">
    <w:abstractNumId w:val="10"/>
  </w:num>
  <w:num w:numId="38">
    <w:abstractNumId w:val="15"/>
  </w:num>
  <w:num w:numId="39">
    <w:abstractNumId w:val="23"/>
  </w:num>
  <w:num w:numId="40">
    <w:abstractNumId w:val="18"/>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056B4"/>
    <w:rsid w:val="000119F5"/>
    <w:rsid w:val="00015912"/>
    <w:rsid w:val="0002154A"/>
    <w:rsid w:val="00035065"/>
    <w:rsid w:val="00041202"/>
    <w:rsid w:val="000433EF"/>
    <w:rsid w:val="00046BB2"/>
    <w:rsid w:val="00061283"/>
    <w:rsid w:val="00083838"/>
    <w:rsid w:val="00084231"/>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82BF7"/>
    <w:rsid w:val="00193366"/>
    <w:rsid w:val="00197D7E"/>
    <w:rsid w:val="001A016C"/>
    <w:rsid w:val="001A1FD1"/>
    <w:rsid w:val="001A2103"/>
    <w:rsid w:val="001A2BEC"/>
    <w:rsid w:val="001A7B50"/>
    <w:rsid w:val="001B602C"/>
    <w:rsid w:val="001C48CD"/>
    <w:rsid w:val="001E03DE"/>
    <w:rsid w:val="001E2674"/>
    <w:rsid w:val="001F0AA0"/>
    <w:rsid w:val="00220C31"/>
    <w:rsid w:val="002223B8"/>
    <w:rsid w:val="00230761"/>
    <w:rsid w:val="0023488D"/>
    <w:rsid w:val="00235DC8"/>
    <w:rsid w:val="00241FAB"/>
    <w:rsid w:val="0024208F"/>
    <w:rsid w:val="00244304"/>
    <w:rsid w:val="00253D95"/>
    <w:rsid w:val="002606E0"/>
    <w:rsid w:val="00263F44"/>
    <w:rsid w:val="00274B6E"/>
    <w:rsid w:val="00282513"/>
    <w:rsid w:val="0028650B"/>
    <w:rsid w:val="00292BAF"/>
    <w:rsid w:val="002938BF"/>
    <w:rsid w:val="00294746"/>
    <w:rsid w:val="00296589"/>
    <w:rsid w:val="002B2CC9"/>
    <w:rsid w:val="002C2249"/>
    <w:rsid w:val="002C463D"/>
    <w:rsid w:val="002C49E2"/>
    <w:rsid w:val="002C5AF4"/>
    <w:rsid w:val="002D50BA"/>
    <w:rsid w:val="002E68F9"/>
    <w:rsid w:val="002F2E66"/>
    <w:rsid w:val="0030155E"/>
    <w:rsid w:val="00307652"/>
    <w:rsid w:val="00311C43"/>
    <w:rsid w:val="00315790"/>
    <w:rsid w:val="00333CC2"/>
    <w:rsid w:val="00336D04"/>
    <w:rsid w:val="00374460"/>
    <w:rsid w:val="003754E3"/>
    <w:rsid w:val="003769EA"/>
    <w:rsid w:val="00382E95"/>
    <w:rsid w:val="0039124F"/>
    <w:rsid w:val="0039169C"/>
    <w:rsid w:val="003969C3"/>
    <w:rsid w:val="003A0618"/>
    <w:rsid w:val="003A7640"/>
    <w:rsid w:val="003B2130"/>
    <w:rsid w:val="003C721B"/>
    <w:rsid w:val="003E5C20"/>
    <w:rsid w:val="004015CD"/>
    <w:rsid w:val="004046CE"/>
    <w:rsid w:val="004116A4"/>
    <w:rsid w:val="00414717"/>
    <w:rsid w:val="004204D2"/>
    <w:rsid w:val="004308E4"/>
    <w:rsid w:val="00430DA9"/>
    <w:rsid w:val="00431EA3"/>
    <w:rsid w:val="0043692F"/>
    <w:rsid w:val="0044650F"/>
    <w:rsid w:val="00451529"/>
    <w:rsid w:val="00455880"/>
    <w:rsid w:val="0046328C"/>
    <w:rsid w:val="00470E0A"/>
    <w:rsid w:val="0048193B"/>
    <w:rsid w:val="00482A7C"/>
    <w:rsid w:val="00490727"/>
    <w:rsid w:val="0049356E"/>
    <w:rsid w:val="00495F1F"/>
    <w:rsid w:val="004A3225"/>
    <w:rsid w:val="004B1AE5"/>
    <w:rsid w:val="004B2484"/>
    <w:rsid w:val="004C2136"/>
    <w:rsid w:val="004D069D"/>
    <w:rsid w:val="004D476C"/>
    <w:rsid w:val="004F0AC8"/>
    <w:rsid w:val="004F0F9E"/>
    <w:rsid w:val="00514DF7"/>
    <w:rsid w:val="00515010"/>
    <w:rsid w:val="005154E3"/>
    <w:rsid w:val="005259C4"/>
    <w:rsid w:val="00532DFA"/>
    <w:rsid w:val="00535666"/>
    <w:rsid w:val="00535E5A"/>
    <w:rsid w:val="00542D7D"/>
    <w:rsid w:val="00554717"/>
    <w:rsid w:val="00554A4B"/>
    <w:rsid w:val="00560007"/>
    <w:rsid w:val="00567432"/>
    <w:rsid w:val="005726C6"/>
    <w:rsid w:val="005735E9"/>
    <w:rsid w:val="00573E4F"/>
    <w:rsid w:val="00575A52"/>
    <w:rsid w:val="00577F24"/>
    <w:rsid w:val="005817A7"/>
    <w:rsid w:val="005839FC"/>
    <w:rsid w:val="005872B3"/>
    <w:rsid w:val="005A2907"/>
    <w:rsid w:val="005B6258"/>
    <w:rsid w:val="005C0A84"/>
    <w:rsid w:val="005C3DE5"/>
    <w:rsid w:val="005D32AB"/>
    <w:rsid w:val="005D74F8"/>
    <w:rsid w:val="005E11D2"/>
    <w:rsid w:val="005E21FC"/>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0CE0"/>
    <w:rsid w:val="006747FE"/>
    <w:rsid w:val="00676A9C"/>
    <w:rsid w:val="0068603E"/>
    <w:rsid w:val="00686F80"/>
    <w:rsid w:val="00687801"/>
    <w:rsid w:val="00695285"/>
    <w:rsid w:val="0069561F"/>
    <w:rsid w:val="00697CA8"/>
    <w:rsid w:val="006A48E3"/>
    <w:rsid w:val="006A7621"/>
    <w:rsid w:val="006B3B75"/>
    <w:rsid w:val="006C1699"/>
    <w:rsid w:val="006D7A4A"/>
    <w:rsid w:val="006E624E"/>
    <w:rsid w:val="006F1D56"/>
    <w:rsid w:val="00704D5A"/>
    <w:rsid w:val="00705C1A"/>
    <w:rsid w:val="00720102"/>
    <w:rsid w:val="00741D2B"/>
    <w:rsid w:val="00742F34"/>
    <w:rsid w:val="00747952"/>
    <w:rsid w:val="007566E6"/>
    <w:rsid w:val="00756769"/>
    <w:rsid w:val="0076238D"/>
    <w:rsid w:val="00763BF9"/>
    <w:rsid w:val="00765E62"/>
    <w:rsid w:val="0076611F"/>
    <w:rsid w:val="00766DC2"/>
    <w:rsid w:val="00781470"/>
    <w:rsid w:val="007A0885"/>
    <w:rsid w:val="007A1BAD"/>
    <w:rsid w:val="007A5904"/>
    <w:rsid w:val="007B2DCA"/>
    <w:rsid w:val="007B41E4"/>
    <w:rsid w:val="007B5295"/>
    <w:rsid w:val="007B6059"/>
    <w:rsid w:val="007C2EB8"/>
    <w:rsid w:val="007D5D28"/>
    <w:rsid w:val="007E00B0"/>
    <w:rsid w:val="007E136B"/>
    <w:rsid w:val="007E4198"/>
    <w:rsid w:val="007E7EE3"/>
    <w:rsid w:val="007F5051"/>
    <w:rsid w:val="00806A96"/>
    <w:rsid w:val="00811543"/>
    <w:rsid w:val="00813751"/>
    <w:rsid w:val="0082223E"/>
    <w:rsid w:val="00822474"/>
    <w:rsid w:val="00851596"/>
    <w:rsid w:val="00851F1D"/>
    <w:rsid w:val="0086018D"/>
    <w:rsid w:val="0086231C"/>
    <w:rsid w:val="008626D1"/>
    <w:rsid w:val="008661EE"/>
    <w:rsid w:val="008666EC"/>
    <w:rsid w:val="00872FD6"/>
    <w:rsid w:val="008836AE"/>
    <w:rsid w:val="00891551"/>
    <w:rsid w:val="00897265"/>
    <w:rsid w:val="008A2EBA"/>
    <w:rsid w:val="008A3391"/>
    <w:rsid w:val="008A7911"/>
    <w:rsid w:val="008B314A"/>
    <w:rsid w:val="008B5BD4"/>
    <w:rsid w:val="008B696F"/>
    <w:rsid w:val="008C2806"/>
    <w:rsid w:val="008D547C"/>
    <w:rsid w:val="008E0658"/>
    <w:rsid w:val="008E12E1"/>
    <w:rsid w:val="008E62DC"/>
    <w:rsid w:val="008E6BC7"/>
    <w:rsid w:val="008F3F19"/>
    <w:rsid w:val="008F7212"/>
    <w:rsid w:val="009027E5"/>
    <w:rsid w:val="0090616C"/>
    <w:rsid w:val="0092578C"/>
    <w:rsid w:val="00934807"/>
    <w:rsid w:val="00934B0F"/>
    <w:rsid w:val="00940DDD"/>
    <w:rsid w:val="00947D37"/>
    <w:rsid w:val="00950A22"/>
    <w:rsid w:val="009533B3"/>
    <w:rsid w:val="009638F8"/>
    <w:rsid w:val="00963EDC"/>
    <w:rsid w:val="00967780"/>
    <w:rsid w:val="0097339B"/>
    <w:rsid w:val="009762CC"/>
    <w:rsid w:val="00984820"/>
    <w:rsid w:val="009935DA"/>
    <w:rsid w:val="009A115F"/>
    <w:rsid w:val="009A2D42"/>
    <w:rsid w:val="009C05F9"/>
    <w:rsid w:val="009C1FFE"/>
    <w:rsid w:val="009C59DB"/>
    <w:rsid w:val="009E1A78"/>
    <w:rsid w:val="009E430D"/>
    <w:rsid w:val="009E4E76"/>
    <w:rsid w:val="009F4E5F"/>
    <w:rsid w:val="00A02163"/>
    <w:rsid w:val="00A12327"/>
    <w:rsid w:val="00A2219A"/>
    <w:rsid w:val="00A22A12"/>
    <w:rsid w:val="00A30D8E"/>
    <w:rsid w:val="00A32CC4"/>
    <w:rsid w:val="00A718E9"/>
    <w:rsid w:val="00A776BB"/>
    <w:rsid w:val="00A80D3E"/>
    <w:rsid w:val="00A82D51"/>
    <w:rsid w:val="00A83CBC"/>
    <w:rsid w:val="00A9421D"/>
    <w:rsid w:val="00AA479F"/>
    <w:rsid w:val="00AA4CD0"/>
    <w:rsid w:val="00AB0FE7"/>
    <w:rsid w:val="00AB3614"/>
    <w:rsid w:val="00AD4FA7"/>
    <w:rsid w:val="00AD72AA"/>
    <w:rsid w:val="00AD76CA"/>
    <w:rsid w:val="00AD7F8A"/>
    <w:rsid w:val="00AE6F99"/>
    <w:rsid w:val="00AE7ED3"/>
    <w:rsid w:val="00AF3A17"/>
    <w:rsid w:val="00B009B6"/>
    <w:rsid w:val="00B00C2B"/>
    <w:rsid w:val="00B0722F"/>
    <w:rsid w:val="00B16CF9"/>
    <w:rsid w:val="00B17E09"/>
    <w:rsid w:val="00B20FEE"/>
    <w:rsid w:val="00B347F2"/>
    <w:rsid w:val="00B34CB2"/>
    <w:rsid w:val="00B43CCD"/>
    <w:rsid w:val="00B5152B"/>
    <w:rsid w:val="00B613CC"/>
    <w:rsid w:val="00B638D2"/>
    <w:rsid w:val="00B73422"/>
    <w:rsid w:val="00B762C4"/>
    <w:rsid w:val="00B8215D"/>
    <w:rsid w:val="00B90B2E"/>
    <w:rsid w:val="00BA4783"/>
    <w:rsid w:val="00BA5A1F"/>
    <w:rsid w:val="00BA69FB"/>
    <w:rsid w:val="00BD195B"/>
    <w:rsid w:val="00BF6D36"/>
    <w:rsid w:val="00C078FE"/>
    <w:rsid w:val="00C1022E"/>
    <w:rsid w:val="00C20184"/>
    <w:rsid w:val="00C20264"/>
    <w:rsid w:val="00C22C2F"/>
    <w:rsid w:val="00C22DA6"/>
    <w:rsid w:val="00C365E6"/>
    <w:rsid w:val="00C43374"/>
    <w:rsid w:val="00C463C2"/>
    <w:rsid w:val="00C478DE"/>
    <w:rsid w:val="00C6360C"/>
    <w:rsid w:val="00C66C69"/>
    <w:rsid w:val="00C67459"/>
    <w:rsid w:val="00C74AB3"/>
    <w:rsid w:val="00C8127F"/>
    <w:rsid w:val="00C91BDE"/>
    <w:rsid w:val="00CA12E7"/>
    <w:rsid w:val="00CB6C1D"/>
    <w:rsid w:val="00CC2266"/>
    <w:rsid w:val="00CC49D7"/>
    <w:rsid w:val="00CC5209"/>
    <w:rsid w:val="00CC5F04"/>
    <w:rsid w:val="00CC6C70"/>
    <w:rsid w:val="00CD6932"/>
    <w:rsid w:val="00CF0B71"/>
    <w:rsid w:val="00CF2BD1"/>
    <w:rsid w:val="00CF2F60"/>
    <w:rsid w:val="00D05737"/>
    <w:rsid w:val="00D074DD"/>
    <w:rsid w:val="00D11D30"/>
    <w:rsid w:val="00D24408"/>
    <w:rsid w:val="00D30044"/>
    <w:rsid w:val="00D30390"/>
    <w:rsid w:val="00D46307"/>
    <w:rsid w:val="00D5071E"/>
    <w:rsid w:val="00D6138B"/>
    <w:rsid w:val="00D6554E"/>
    <w:rsid w:val="00D6702E"/>
    <w:rsid w:val="00D727DB"/>
    <w:rsid w:val="00D80989"/>
    <w:rsid w:val="00D813BA"/>
    <w:rsid w:val="00D83FEF"/>
    <w:rsid w:val="00D86561"/>
    <w:rsid w:val="00D969BB"/>
    <w:rsid w:val="00DA10EA"/>
    <w:rsid w:val="00DA1E6E"/>
    <w:rsid w:val="00DB5C48"/>
    <w:rsid w:val="00DD03E6"/>
    <w:rsid w:val="00DD0775"/>
    <w:rsid w:val="00DD3ABE"/>
    <w:rsid w:val="00DE41D6"/>
    <w:rsid w:val="00DE7F37"/>
    <w:rsid w:val="00E33CC2"/>
    <w:rsid w:val="00E45CE7"/>
    <w:rsid w:val="00E475FB"/>
    <w:rsid w:val="00E51D92"/>
    <w:rsid w:val="00E621A1"/>
    <w:rsid w:val="00E6580F"/>
    <w:rsid w:val="00E67DE2"/>
    <w:rsid w:val="00E71134"/>
    <w:rsid w:val="00E7400F"/>
    <w:rsid w:val="00E760C6"/>
    <w:rsid w:val="00E83DBD"/>
    <w:rsid w:val="00E8738F"/>
    <w:rsid w:val="00E945C6"/>
    <w:rsid w:val="00E974D1"/>
    <w:rsid w:val="00EA15D4"/>
    <w:rsid w:val="00EC3925"/>
    <w:rsid w:val="00ED286F"/>
    <w:rsid w:val="00EE7AFA"/>
    <w:rsid w:val="00EF2646"/>
    <w:rsid w:val="00F1081A"/>
    <w:rsid w:val="00F1349A"/>
    <w:rsid w:val="00F214A3"/>
    <w:rsid w:val="00F30208"/>
    <w:rsid w:val="00F4327F"/>
    <w:rsid w:val="00F44A67"/>
    <w:rsid w:val="00F52EFA"/>
    <w:rsid w:val="00F5768C"/>
    <w:rsid w:val="00F57897"/>
    <w:rsid w:val="00F62674"/>
    <w:rsid w:val="00F66096"/>
    <w:rsid w:val="00F90FD3"/>
    <w:rsid w:val="00F95B2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85CA0F12-9DF6-492E-B91B-C24D9D70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4</Pages>
  <Words>899</Words>
  <Characters>5664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Tauben im Gras – Sprache im Roman - Hinweise Lehrkraft</dc:title>
  <dc:subject/>
  <cp:keywords/>
  <dc:description/>
  <cp:lastModifiedBy>offline</cp:lastModifiedBy>
  <cp:revision>39</cp:revision>
  <dcterms:created xsi:type="dcterms:W3CDTF">2023-11-01T15:41:00Z</dcterms:created>
  <dcterms:modified xsi:type="dcterms:W3CDTF">2024-04-20T15:26:00Z</dcterms:modified>
</cp:coreProperties>
</file>