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50C1" w14:textId="187B3674" w:rsidR="005C1DFC" w:rsidRPr="00FA595A" w:rsidRDefault="00E84D19" w:rsidP="005C1DFC">
      <w:pPr>
        <w:spacing w:after="200" w:line="276" w:lineRule="auto"/>
        <w:rPr>
          <w:rFonts w:ascii="Calibri" w:hAnsi="Calibri"/>
          <w:b/>
          <w:bCs/>
          <w:szCs w:val="24"/>
        </w:rPr>
      </w:pPr>
      <w:r w:rsidRPr="00FA595A">
        <w:rPr>
          <w:rFonts w:ascii="Calibri" w:hAnsi="Calibri"/>
          <w:b/>
          <w:bCs/>
          <w:szCs w:val="24"/>
        </w:rPr>
        <w:t>Formulierungsbausteine für die Literarische Erörterung</w:t>
      </w:r>
    </w:p>
    <w:p w14:paraId="547E80D9" w14:textId="5429BD7D" w:rsidR="00E84D19" w:rsidRPr="00FA595A" w:rsidRDefault="00E84D19" w:rsidP="005C1DFC">
      <w:pPr>
        <w:spacing w:after="200" w:line="276" w:lineRule="auto"/>
        <w:rPr>
          <w:rFonts w:ascii="Calibri" w:hAnsi="Calibri"/>
          <w:szCs w:val="24"/>
        </w:rPr>
      </w:pPr>
      <w:r w:rsidRPr="00FA595A">
        <w:rPr>
          <w:rFonts w:ascii="Calibri" w:hAnsi="Calibri"/>
          <w:szCs w:val="24"/>
        </w:rPr>
        <w:t xml:space="preserve">Damit eine Erörterung überzeugend ist, muss der Gedankengang klar aufgebaut und differenziert formuliert sein. Dazu müssen die Argumente logisch und sinnvoll zueinander in Beziehung gesetzt werden. Dabei helfen Konjunktionen, Adverbien oder feste Wendungen. </w:t>
      </w:r>
      <w:r w:rsidR="00537D7B">
        <w:rPr>
          <w:rFonts w:ascii="Calibri" w:hAnsi="Calibri"/>
          <w:szCs w:val="24"/>
        </w:rPr>
        <w:br/>
      </w:r>
    </w:p>
    <w:p w14:paraId="68049929" w14:textId="5A6CF683" w:rsidR="00537D7B" w:rsidRPr="00537D7B" w:rsidRDefault="00537D7B" w:rsidP="00537D7B">
      <w:pPr>
        <w:pStyle w:val="Listenabsatz"/>
        <w:numPr>
          <w:ilvl w:val="0"/>
          <w:numId w:val="11"/>
        </w:numPr>
        <w:spacing w:after="200" w:line="276" w:lineRule="auto"/>
        <w:rPr>
          <w:rFonts w:ascii="Calibri" w:hAnsi="Calibri"/>
          <w:szCs w:val="24"/>
        </w:rPr>
      </w:pPr>
      <w:r>
        <w:rPr>
          <w:noProof/>
        </w:rPr>
        <w:drawing>
          <wp:anchor distT="0" distB="0" distL="114300" distR="114300" simplePos="0" relativeHeight="251661824" behindDoc="1" locked="0" layoutInCell="1" allowOverlap="1" wp14:anchorId="24A55834" wp14:editId="20D61F1A">
            <wp:simplePos x="0" y="0"/>
            <wp:positionH relativeFrom="column">
              <wp:posOffset>5119370</wp:posOffset>
            </wp:positionH>
            <wp:positionV relativeFrom="paragraph">
              <wp:posOffset>6350</wp:posOffset>
            </wp:positionV>
            <wp:extent cx="670560" cy="639438"/>
            <wp:effectExtent l="0" t="0" r="0" b="8890"/>
            <wp:wrapTight wrapText="bothSides">
              <wp:wrapPolygon edited="0">
                <wp:start x="0" y="0"/>
                <wp:lineTo x="0" y="21256"/>
                <wp:lineTo x="20864" y="21256"/>
                <wp:lineTo x="2086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560" cy="639438"/>
                    </a:xfrm>
                    <a:prstGeom prst="rect">
                      <a:avLst/>
                    </a:prstGeom>
                  </pic:spPr>
                </pic:pic>
              </a:graphicData>
            </a:graphic>
          </wp:anchor>
        </w:drawing>
      </w:r>
      <w:r w:rsidR="005814F6" w:rsidRPr="00FA595A">
        <w:rPr>
          <w:rFonts w:ascii="Calibri" w:hAnsi="Calibri"/>
          <w:szCs w:val="24"/>
        </w:rPr>
        <w:t>Auf der Seite „</w:t>
      </w:r>
      <w:proofErr w:type="spellStart"/>
      <w:r w:rsidR="005814F6" w:rsidRPr="00FA595A">
        <w:rPr>
          <w:rFonts w:ascii="Calibri" w:hAnsi="Calibri"/>
          <w:szCs w:val="24"/>
        </w:rPr>
        <w:t>Flinga</w:t>
      </w:r>
      <w:proofErr w:type="spellEnd"/>
      <w:r w:rsidR="005814F6" w:rsidRPr="00FA595A">
        <w:rPr>
          <w:rFonts w:ascii="Calibri" w:hAnsi="Calibri"/>
          <w:szCs w:val="24"/>
        </w:rPr>
        <w:t>“ finden Sie Formulierungsbausteine</w:t>
      </w:r>
      <w:r w:rsidR="00FA595A" w:rsidRPr="00FA595A">
        <w:rPr>
          <w:rFonts w:ascii="Calibri" w:hAnsi="Calibri"/>
          <w:szCs w:val="24"/>
        </w:rPr>
        <w:t>.</w:t>
      </w:r>
      <w:r w:rsidR="005814F6" w:rsidRPr="00FA595A">
        <w:rPr>
          <w:rFonts w:ascii="Calibri" w:hAnsi="Calibri"/>
          <w:szCs w:val="24"/>
        </w:rPr>
        <w:t xml:space="preserve"> </w:t>
      </w:r>
      <w:r w:rsidR="00FA595A" w:rsidRPr="00FA595A">
        <w:rPr>
          <w:rFonts w:ascii="Calibri" w:hAnsi="Calibri"/>
          <w:szCs w:val="24"/>
        </w:rPr>
        <w:t xml:space="preserve">Die Bausteine sind durcheinandergeraten. </w:t>
      </w:r>
      <w:r w:rsidR="005814F6" w:rsidRPr="00FA595A">
        <w:rPr>
          <w:rFonts w:ascii="Calibri" w:hAnsi="Calibri"/>
          <w:szCs w:val="24"/>
        </w:rPr>
        <w:t xml:space="preserve">Lesen Sie </w:t>
      </w:r>
      <w:r w:rsidR="00FA595A" w:rsidRPr="00FA595A">
        <w:rPr>
          <w:rFonts w:ascii="Calibri" w:hAnsi="Calibri"/>
          <w:szCs w:val="24"/>
        </w:rPr>
        <w:t xml:space="preserve">sich die Bausteine durch und strukturieren Sie diese, indem Sie sie diese zueinander schieben. </w:t>
      </w:r>
    </w:p>
    <w:p w14:paraId="770CBE23" w14:textId="2139DC94" w:rsidR="00AA0821" w:rsidRDefault="00000000" w:rsidP="00537D7B">
      <w:pPr>
        <w:pStyle w:val="Listenabsatz"/>
        <w:spacing w:after="200" w:line="276" w:lineRule="auto"/>
        <w:ind w:left="6741" w:firstLine="349"/>
        <w:rPr>
          <w:rFonts w:asciiTheme="minorHAnsi" w:eastAsia="Times New Roman" w:hAnsiTheme="minorHAnsi" w:cstheme="minorHAnsi"/>
          <w:sz w:val="18"/>
          <w:szCs w:val="18"/>
          <w:lang w:eastAsia="de-DE"/>
        </w:rPr>
      </w:pPr>
      <w:hyperlink r:id="rId9" w:history="1">
        <w:r w:rsidR="00537D7B" w:rsidRPr="00B63DD2">
          <w:rPr>
            <w:rStyle w:val="Hyperlink"/>
            <w:rFonts w:asciiTheme="minorHAnsi" w:eastAsia="Times New Roman" w:hAnsiTheme="minorHAnsi" w:cstheme="minorHAnsi"/>
            <w:sz w:val="18"/>
            <w:szCs w:val="18"/>
            <w:lang w:eastAsia="de-DE"/>
          </w:rPr>
          <w:t>https://flinga.fi/s/FCXWMX7</w:t>
        </w:r>
      </w:hyperlink>
    </w:p>
    <w:p w14:paraId="43CFDD34" w14:textId="77777777" w:rsidR="00537D7B" w:rsidRPr="00537D7B" w:rsidRDefault="00537D7B" w:rsidP="00537D7B">
      <w:pPr>
        <w:pStyle w:val="Listenabsatz"/>
        <w:spacing w:after="200" w:line="276" w:lineRule="auto"/>
        <w:ind w:left="6741" w:firstLine="349"/>
        <w:rPr>
          <w:rFonts w:asciiTheme="minorHAnsi" w:eastAsia="Times New Roman" w:hAnsiTheme="minorHAnsi" w:cstheme="minorHAnsi"/>
          <w:szCs w:val="24"/>
          <w:lang w:eastAsia="de-DE"/>
        </w:rPr>
      </w:pPr>
    </w:p>
    <w:p w14:paraId="476A5CFC" w14:textId="2D886A62" w:rsidR="00AA0821" w:rsidRPr="00AA0821" w:rsidRDefault="00E84D19" w:rsidP="00AA0821">
      <w:pPr>
        <w:pStyle w:val="Listenabsatz"/>
        <w:numPr>
          <w:ilvl w:val="0"/>
          <w:numId w:val="11"/>
        </w:numPr>
        <w:spacing w:after="200" w:line="276" w:lineRule="auto"/>
        <w:rPr>
          <w:rFonts w:ascii="Calibri" w:hAnsi="Calibri"/>
          <w:szCs w:val="24"/>
        </w:rPr>
      </w:pPr>
      <w:r w:rsidRPr="00FA595A">
        <w:rPr>
          <w:rFonts w:ascii="Calibri" w:hAnsi="Calibri"/>
          <w:szCs w:val="24"/>
        </w:rPr>
        <w:t xml:space="preserve">Ordnen Sie die </w:t>
      </w:r>
      <w:r w:rsidR="005814F6" w:rsidRPr="00FA595A">
        <w:rPr>
          <w:rFonts w:ascii="Calibri" w:hAnsi="Calibri"/>
          <w:szCs w:val="24"/>
        </w:rPr>
        <w:t xml:space="preserve">digitalen </w:t>
      </w:r>
      <w:r w:rsidRPr="00FA595A">
        <w:rPr>
          <w:rFonts w:ascii="Calibri" w:hAnsi="Calibri"/>
          <w:szCs w:val="24"/>
        </w:rPr>
        <w:t xml:space="preserve">Bausteine in </w:t>
      </w:r>
      <w:r w:rsidR="00FA595A" w:rsidRPr="00FA595A">
        <w:rPr>
          <w:rFonts w:ascii="Calibri" w:hAnsi="Calibri"/>
          <w:szCs w:val="24"/>
        </w:rPr>
        <w:t>das</w:t>
      </w:r>
      <w:r w:rsidRPr="00FA595A">
        <w:rPr>
          <w:rFonts w:ascii="Calibri" w:hAnsi="Calibri"/>
          <w:szCs w:val="24"/>
        </w:rPr>
        <w:t xml:space="preserve"> </w:t>
      </w:r>
      <w:r w:rsidR="00FA595A" w:rsidRPr="00FA595A">
        <w:rPr>
          <w:rFonts w:ascii="Calibri" w:hAnsi="Calibri"/>
          <w:szCs w:val="24"/>
        </w:rPr>
        <w:t>„Haus der Formulierungen“</w:t>
      </w:r>
      <w:r w:rsidRPr="00FA595A">
        <w:rPr>
          <w:rFonts w:ascii="Calibri" w:hAnsi="Calibri"/>
          <w:szCs w:val="24"/>
        </w:rPr>
        <w:t xml:space="preserve"> ein</w:t>
      </w:r>
      <w:r w:rsidR="00A649E2">
        <w:rPr>
          <w:rFonts w:ascii="Calibri" w:hAnsi="Calibri"/>
          <w:szCs w:val="24"/>
        </w:rPr>
        <w:t>.</w:t>
      </w:r>
      <w:r w:rsidR="00FA595A" w:rsidRPr="00FA595A">
        <w:rPr>
          <w:rFonts w:ascii="Calibri" w:hAnsi="Calibri"/>
          <w:szCs w:val="24"/>
        </w:rPr>
        <w:t xml:space="preserve"> </w:t>
      </w:r>
      <w:r w:rsidR="00AA0821">
        <w:rPr>
          <w:rFonts w:ascii="Calibri" w:hAnsi="Calibri"/>
          <w:szCs w:val="24"/>
        </w:rPr>
        <w:br/>
      </w:r>
      <w:r w:rsidR="00AA0821" w:rsidRPr="00AA0821">
        <w:rPr>
          <w:rFonts w:ascii="Calibri" w:hAnsi="Calibri"/>
          <w:i/>
          <w:iCs/>
          <w:szCs w:val="24"/>
        </w:rPr>
        <w:t>Hinweis: Die Bausteine lassen sich z.T. in mehrere Stockwerke einsortieren. Mehrfachnennungen möglich.</w:t>
      </w:r>
    </w:p>
    <w:p w14:paraId="0D29A3C6" w14:textId="77777777" w:rsidR="00AA0821" w:rsidRPr="00AA0821" w:rsidRDefault="00AA0821" w:rsidP="00AA0821">
      <w:pPr>
        <w:pStyle w:val="Listenabsatz"/>
        <w:spacing w:after="200" w:line="276" w:lineRule="auto"/>
        <w:rPr>
          <w:rFonts w:ascii="Calibri" w:hAnsi="Calibri"/>
          <w:i/>
          <w:iCs/>
          <w:szCs w:val="24"/>
        </w:rPr>
      </w:pPr>
    </w:p>
    <w:p w14:paraId="374B3584" w14:textId="4A7E6C4A" w:rsidR="005814F6" w:rsidRDefault="005814F6" w:rsidP="005814F6">
      <w:pPr>
        <w:pStyle w:val="Listenabsatz"/>
        <w:numPr>
          <w:ilvl w:val="0"/>
          <w:numId w:val="11"/>
        </w:numPr>
        <w:spacing w:after="200" w:line="276" w:lineRule="auto"/>
        <w:rPr>
          <w:rFonts w:ascii="Calibri" w:hAnsi="Calibri"/>
          <w:szCs w:val="24"/>
        </w:rPr>
      </w:pPr>
      <w:r w:rsidRPr="00FA595A">
        <w:rPr>
          <w:rFonts w:ascii="Calibri" w:hAnsi="Calibri"/>
          <w:szCs w:val="24"/>
        </w:rPr>
        <w:t xml:space="preserve">Verfassen Sie Ihre Erörterung und greifen Sie auf die Formulierungsbausteine zurück. </w:t>
      </w:r>
      <w:r w:rsidR="00A649E2">
        <w:rPr>
          <w:rFonts w:ascii="Calibri" w:hAnsi="Calibri"/>
          <w:szCs w:val="24"/>
        </w:rPr>
        <w:t>Nutzen Sie beim Schreiben alle Stockwerke.</w:t>
      </w:r>
    </w:p>
    <w:p w14:paraId="6FFA11B8" w14:textId="5869CFC3" w:rsidR="00FA595A" w:rsidRPr="00537D7B" w:rsidRDefault="00A649E2" w:rsidP="00537D7B">
      <w:pPr>
        <w:spacing w:after="200" w:line="276" w:lineRule="auto"/>
        <w:rPr>
          <w:rFonts w:ascii="Calibri" w:hAnsi="Calibri"/>
          <w:i/>
          <w:iCs/>
          <w:szCs w:val="24"/>
        </w:rPr>
      </w:pPr>
      <w:r w:rsidRPr="00AA0821">
        <w:rPr>
          <w:rFonts w:ascii="Calibri" w:hAnsi="Calibri"/>
          <w:i/>
          <w:iCs/>
          <w:szCs w:val="24"/>
        </w:rPr>
        <w:t xml:space="preserve">Tipp: </w:t>
      </w:r>
      <w:r w:rsidR="00FA595A" w:rsidRPr="00AA0821">
        <w:rPr>
          <w:rFonts w:ascii="Calibri" w:hAnsi="Calibri"/>
          <w:i/>
          <w:iCs/>
          <w:szCs w:val="24"/>
        </w:rPr>
        <w:t xml:space="preserve">Beim Formulieren des Hauptteils oder bei der Überarbeitung des Textes können diese hilfreich sein. </w:t>
      </w:r>
    </w:p>
    <w:p w14:paraId="51F5AD75" w14:textId="1C7F7F19" w:rsidR="00FA595A" w:rsidRPr="00FA595A" w:rsidRDefault="00FA595A" w:rsidP="00FA595A">
      <w:pPr>
        <w:pStyle w:val="Listenabsatz"/>
        <w:spacing w:after="200" w:line="276" w:lineRule="auto"/>
        <w:rPr>
          <w:rFonts w:ascii="Calibri" w:hAnsi="Calibri"/>
          <w:szCs w:val="24"/>
        </w:rPr>
      </w:pPr>
      <w:r w:rsidRPr="00FA595A">
        <w:rPr>
          <w:rFonts w:ascii="Calibri" w:hAnsi="Calibri"/>
          <w:noProof/>
          <w:szCs w:val="24"/>
        </w:rPr>
        <mc:AlternateContent>
          <mc:Choice Requires="wps">
            <w:drawing>
              <wp:anchor distT="0" distB="0" distL="114300" distR="114300" simplePos="0" relativeHeight="251660800" behindDoc="0" locked="0" layoutInCell="1" allowOverlap="1" wp14:anchorId="412ADEFB" wp14:editId="623BAC7C">
                <wp:simplePos x="0" y="0"/>
                <wp:positionH relativeFrom="margin">
                  <wp:align>left</wp:align>
                </wp:positionH>
                <wp:positionV relativeFrom="paragraph">
                  <wp:posOffset>246380</wp:posOffset>
                </wp:positionV>
                <wp:extent cx="5974080" cy="727710"/>
                <wp:effectExtent l="38100" t="19050" r="83820" b="15240"/>
                <wp:wrapNone/>
                <wp:docPr id="11" name="Gleichschenkliges Dreieck 11"/>
                <wp:cNvGraphicFramePr/>
                <a:graphic xmlns:a="http://schemas.openxmlformats.org/drawingml/2006/main">
                  <a:graphicData uri="http://schemas.microsoft.com/office/word/2010/wordprocessingShape">
                    <wps:wsp>
                      <wps:cNvSpPr/>
                      <wps:spPr>
                        <a:xfrm>
                          <a:off x="0" y="0"/>
                          <a:ext cx="5974080" cy="727710"/>
                        </a:xfrm>
                        <a:prstGeom prst="triangle">
                          <a:avLst/>
                        </a:prstGeom>
                      </wps:spPr>
                      <wps:style>
                        <a:lnRef idx="1">
                          <a:schemeClr val="accent2"/>
                        </a:lnRef>
                        <a:fillRef idx="2">
                          <a:schemeClr val="accent2"/>
                        </a:fillRef>
                        <a:effectRef idx="1">
                          <a:schemeClr val="accent2"/>
                        </a:effectRef>
                        <a:fontRef idx="minor">
                          <a:schemeClr val="dk1"/>
                        </a:fontRef>
                      </wps:style>
                      <wps:txbx>
                        <w:txbxContent>
                          <w:p w14:paraId="06F51D47" w14:textId="652A2242" w:rsidR="00FA595A" w:rsidRPr="00FA595A" w:rsidRDefault="00FA595A" w:rsidP="00FA595A">
                            <w:pPr>
                              <w:jc w:val="center"/>
                              <w:rPr>
                                <w:rFonts w:asciiTheme="minorHAnsi" w:hAnsiTheme="minorHAnsi" w:cstheme="minorHAnsi"/>
                                <w:b/>
                                <w:bCs/>
                                <w:sz w:val="22"/>
                                <w:szCs w:val="20"/>
                              </w:rPr>
                            </w:pPr>
                            <w:r w:rsidRPr="00FA595A">
                              <w:rPr>
                                <w:rFonts w:asciiTheme="minorHAnsi" w:hAnsiTheme="minorHAnsi" w:cstheme="minorHAnsi"/>
                                <w:b/>
                                <w:bCs/>
                                <w:sz w:val="22"/>
                                <w:szCs w:val="20"/>
                              </w:rPr>
                              <w:t>Haus der Formulierungen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ADE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1" o:spid="_x0000_s1026" type="#_x0000_t5" style="position:absolute;left:0;text-align:left;margin-left:0;margin-top:19.4pt;width:470.4pt;height:57.3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" fillcolor="#f3a875 [2165]" strokecolor="#ed7d31 [3205]" strokeweight=".5pt">
                <v:fill color2="#f09558 [2613]" rotate="t" colors="0 #f7bda4;.5 #f5b195;1 #f8a581" focus="100%" type="gradient">
                  <o:fill v:ext="view" type="gradientUnscaled"/>
                </v:fill>
                <v:textbox>
                  <w:txbxContent>
                    <w:p w14:paraId="06F51D47" w14:textId="652A2242" w:rsidR="00FA595A" w:rsidRPr="00FA595A" w:rsidRDefault="00FA595A" w:rsidP="00FA595A">
                      <w:pPr>
                        <w:jc w:val="center"/>
                        <w:rPr>
                          <w:rFonts w:asciiTheme="minorHAnsi" w:hAnsiTheme="minorHAnsi" w:cstheme="minorHAnsi"/>
                          <w:b/>
                          <w:bCs/>
                          <w:sz w:val="22"/>
                          <w:szCs w:val="20"/>
                        </w:rPr>
                      </w:pPr>
                      <w:r w:rsidRPr="00FA595A">
                        <w:rPr>
                          <w:rFonts w:asciiTheme="minorHAnsi" w:hAnsiTheme="minorHAnsi" w:cstheme="minorHAnsi"/>
                          <w:b/>
                          <w:bCs/>
                          <w:sz w:val="22"/>
                          <w:szCs w:val="20"/>
                        </w:rPr>
                        <w:t>Haus der Formulierungen</w:t>
                      </w:r>
                    </w:p>
                  </w:txbxContent>
                </v:textbox>
                <w10:wrap anchorx="margin"/>
              </v:shape>
            </w:pict>
          </mc:Fallback>
        </mc:AlternateContent>
      </w:r>
    </w:p>
    <w:p w14:paraId="0A803D92" w14:textId="1A67B46A" w:rsidR="005814F6" w:rsidRDefault="005814F6" w:rsidP="005814F6">
      <w:pPr>
        <w:spacing w:after="200" w:line="276" w:lineRule="auto"/>
        <w:rPr>
          <w:rFonts w:ascii="Calibri" w:hAnsi="Calibri"/>
          <w:sz w:val="22"/>
        </w:rPr>
      </w:pPr>
    </w:p>
    <w:p w14:paraId="3F3058BF" w14:textId="77777777" w:rsidR="005814F6" w:rsidRPr="005814F6" w:rsidRDefault="005814F6" w:rsidP="005814F6">
      <w:pPr>
        <w:spacing w:after="200" w:line="276" w:lineRule="auto"/>
        <w:rPr>
          <w:rFonts w:ascii="Calibri" w:hAnsi="Calibri"/>
          <w:sz w:val="22"/>
        </w:rPr>
      </w:pPr>
    </w:p>
    <w:tbl>
      <w:tblPr>
        <w:tblStyle w:val="Tabellenraster"/>
        <w:tblW w:w="0" w:type="auto"/>
        <w:tblLook w:val="04A0" w:firstRow="1" w:lastRow="0" w:firstColumn="1" w:lastColumn="0" w:noHBand="0" w:noVBand="1"/>
      </w:tblPr>
      <w:tblGrid>
        <w:gridCol w:w="4672"/>
        <w:gridCol w:w="4672"/>
      </w:tblGrid>
      <w:tr w:rsidR="00E84D19" w14:paraId="218CEB6C" w14:textId="77777777" w:rsidTr="00E84D19">
        <w:tc>
          <w:tcPr>
            <w:tcW w:w="4672" w:type="dxa"/>
          </w:tcPr>
          <w:p w14:paraId="6E946FE1" w14:textId="6F3DA858" w:rsidR="00E84D19" w:rsidRPr="005814F6" w:rsidRDefault="005814F6" w:rsidP="005C1DFC">
            <w:pPr>
              <w:spacing w:after="200" w:line="276" w:lineRule="auto"/>
              <w:rPr>
                <w:rFonts w:ascii="Calibri" w:hAnsi="Calibri"/>
                <w:b/>
                <w:bCs/>
                <w:sz w:val="22"/>
              </w:rPr>
            </w:pPr>
            <w:r w:rsidRPr="005814F6">
              <w:rPr>
                <w:rFonts w:ascii="Calibri" w:hAnsi="Calibri"/>
                <w:b/>
                <w:bCs/>
                <w:sz w:val="22"/>
              </w:rPr>
              <w:t>Argumente mit Konjunktionen und Adverbien</w:t>
            </w:r>
          </w:p>
        </w:tc>
        <w:tc>
          <w:tcPr>
            <w:tcW w:w="4672" w:type="dxa"/>
          </w:tcPr>
          <w:p w14:paraId="4F94FBCE" w14:textId="288A80A4" w:rsidR="00E84D19" w:rsidRPr="005814F6" w:rsidRDefault="005814F6" w:rsidP="005C1DFC">
            <w:pPr>
              <w:spacing w:after="200" w:line="276" w:lineRule="auto"/>
              <w:rPr>
                <w:rFonts w:ascii="Calibri" w:hAnsi="Calibri"/>
                <w:b/>
                <w:bCs/>
                <w:sz w:val="22"/>
              </w:rPr>
            </w:pPr>
            <w:r w:rsidRPr="005814F6">
              <w:rPr>
                <w:rFonts w:ascii="Calibri" w:hAnsi="Calibri"/>
                <w:b/>
                <w:bCs/>
                <w:sz w:val="22"/>
              </w:rPr>
              <w:t>Argumente mit feststehenden Wendungen</w:t>
            </w:r>
          </w:p>
        </w:tc>
      </w:tr>
      <w:tr w:rsidR="005814F6" w14:paraId="476B941E" w14:textId="77777777" w:rsidTr="00E41240">
        <w:tc>
          <w:tcPr>
            <w:tcW w:w="9344" w:type="dxa"/>
            <w:gridSpan w:val="2"/>
          </w:tcPr>
          <w:p w14:paraId="7954DB3C" w14:textId="314CDFBD" w:rsidR="005814F6" w:rsidRDefault="005814F6" w:rsidP="005814F6">
            <w:pPr>
              <w:spacing w:after="200" w:line="276" w:lineRule="auto"/>
              <w:jc w:val="center"/>
              <w:rPr>
                <w:rFonts w:ascii="Calibri" w:hAnsi="Calibri"/>
                <w:sz w:val="22"/>
              </w:rPr>
            </w:pPr>
            <w:r>
              <w:rPr>
                <w:rFonts w:ascii="Calibri" w:hAnsi="Calibri"/>
                <w:b/>
                <w:bCs/>
                <w:sz w:val="22"/>
              </w:rPr>
              <w:t>k</w:t>
            </w:r>
            <w:r w:rsidRPr="005814F6">
              <w:rPr>
                <w:rFonts w:ascii="Calibri" w:hAnsi="Calibri"/>
                <w:b/>
                <w:bCs/>
                <w:sz w:val="22"/>
              </w:rPr>
              <w:t>ausal</w:t>
            </w:r>
            <w:r>
              <w:rPr>
                <w:rFonts w:ascii="Calibri" w:hAnsi="Calibri"/>
                <w:sz w:val="22"/>
              </w:rPr>
              <w:t xml:space="preserve"> </w:t>
            </w:r>
            <w:r>
              <w:rPr>
                <w:rFonts w:ascii="Calibri" w:hAnsi="Calibri"/>
                <w:sz w:val="22"/>
              </w:rPr>
              <w:br/>
              <w:t xml:space="preserve">Diese Bausteine können für </w:t>
            </w:r>
            <w:r w:rsidRPr="005814F6">
              <w:rPr>
                <w:rFonts w:ascii="Calibri" w:hAnsi="Calibri"/>
                <w:i/>
                <w:iCs/>
                <w:sz w:val="22"/>
              </w:rPr>
              <w:t>Begründungen</w:t>
            </w:r>
            <w:r>
              <w:rPr>
                <w:rFonts w:ascii="Calibri" w:hAnsi="Calibri"/>
                <w:sz w:val="22"/>
              </w:rPr>
              <w:t xml:space="preserve"> genutzt werden.</w:t>
            </w:r>
          </w:p>
        </w:tc>
      </w:tr>
      <w:tr w:rsidR="00E84D19" w14:paraId="0E4D93A6" w14:textId="77777777" w:rsidTr="00E84D19">
        <w:tc>
          <w:tcPr>
            <w:tcW w:w="4672" w:type="dxa"/>
          </w:tcPr>
          <w:p w14:paraId="2A6A8A69" w14:textId="77777777" w:rsidR="00E84D19" w:rsidRDefault="00E84D19" w:rsidP="005C1DFC">
            <w:pPr>
              <w:spacing w:after="200" w:line="276" w:lineRule="auto"/>
              <w:rPr>
                <w:rFonts w:ascii="Calibri" w:hAnsi="Calibri"/>
                <w:sz w:val="22"/>
              </w:rPr>
            </w:pPr>
          </w:p>
          <w:p w14:paraId="19196B53" w14:textId="77777777" w:rsidR="005814F6" w:rsidRDefault="005814F6" w:rsidP="005C1DFC">
            <w:pPr>
              <w:spacing w:after="200" w:line="276" w:lineRule="auto"/>
              <w:rPr>
                <w:rFonts w:ascii="Calibri" w:hAnsi="Calibri"/>
                <w:sz w:val="22"/>
              </w:rPr>
            </w:pPr>
          </w:p>
          <w:p w14:paraId="051E1E8A" w14:textId="7F3705B2" w:rsidR="005814F6" w:rsidRDefault="005814F6" w:rsidP="005C1DFC">
            <w:pPr>
              <w:spacing w:after="200" w:line="276" w:lineRule="auto"/>
              <w:rPr>
                <w:rFonts w:ascii="Calibri" w:hAnsi="Calibri"/>
                <w:sz w:val="22"/>
              </w:rPr>
            </w:pPr>
          </w:p>
        </w:tc>
        <w:tc>
          <w:tcPr>
            <w:tcW w:w="4672" w:type="dxa"/>
          </w:tcPr>
          <w:p w14:paraId="6F864D3A" w14:textId="77777777" w:rsidR="00E84D19" w:rsidRDefault="00E84D19" w:rsidP="005C1DFC">
            <w:pPr>
              <w:spacing w:after="200" w:line="276" w:lineRule="auto"/>
              <w:rPr>
                <w:rFonts w:ascii="Calibri" w:hAnsi="Calibri"/>
                <w:sz w:val="22"/>
              </w:rPr>
            </w:pPr>
          </w:p>
        </w:tc>
      </w:tr>
      <w:tr w:rsidR="005814F6" w14:paraId="74AA0B9F" w14:textId="77777777" w:rsidTr="00F73D98">
        <w:tc>
          <w:tcPr>
            <w:tcW w:w="9344" w:type="dxa"/>
            <w:gridSpan w:val="2"/>
          </w:tcPr>
          <w:p w14:paraId="38B0E0BA" w14:textId="09346907" w:rsidR="005814F6" w:rsidRDefault="005814F6" w:rsidP="005814F6">
            <w:pPr>
              <w:spacing w:after="200" w:line="276" w:lineRule="auto"/>
              <w:jc w:val="center"/>
              <w:rPr>
                <w:rFonts w:ascii="Calibri" w:hAnsi="Calibri"/>
                <w:sz w:val="22"/>
              </w:rPr>
            </w:pPr>
            <w:r w:rsidRPr="005814F6">
              <w:rPr>
                <w:rFonts w:ascii="Calibri" w:hAnsi="Calibri"/>
                <w:b/>
                <w:bCs/>
                <w:sz w:val="22"/>
              </w:rPr>
              <w:t>konsekutiv</w:t>
            </w:r>
            <w:r>
              <w:rPr>
                <w:rFonts w:ascii="Calibri" w:hAnsi="Calibri"/>
                <w:sz w:val="22"/>
              </w:rPr>
              <w:br/>
              <w:t xml:space="preserve">Diese Bausteine können für das Versprachlichen von </w:t>
            </w:r>
            <w:r w:rsidRPr="005814F6">
              <w:rPr>
                <w:rFonts w:ascii="Calibri" w:hAnsi="Calibri"/>
                <w:i/>
                <w:iCs/>
                <w:sz w:val="22"/>
              </w:rPr>
              <w:t>Folgerungen</w:t>
            </w:r>
            <w:r>
              <w:rPr>
                <w:rFonts w:ascii="Calibri" w:hAnsi="Calibri"/>
                <w:sz w:val="22"/>
              </w:rPr>
              <w:t xml:space="preserve"> genutzt werden.</w:t>
            </w:r>
          </w:p>
        </w:tc>
      </w:tr>
      <w:tr w:rsidR="00E84D19" w14:paraId="0010DD16" w14:textId="77777777" w:rsidTr="00E84D19">
        <w:tc>
          <w:tcPr>
            <w:tcW w:w="4672" w:type="dxa"/>
          </w:tcPr>
          <w:p w14:paraId="3B51CCD6" w14:textId="77777777" w:rsidR="00E84D19" w:rsidRDefault="00E84D19" w:rsidP="005C1DFC">
            <w:pPr>
              <w:spacing w:after="200" w:line="276" w:lineRule="auto"/>
              <w:rPr>
                <w:rFonts w:ascii="Calibri" w:hAnsi="Calibri"/>
                <w:sz w:val="22"/>
              </w:rPr>
            </w:pPr>
          </w:p>
          <w:p w14:paraId="2E7A77F8" w14:textId="77777777" w:rsidR="005814F6" w:rsidRDefault="005814F6" w:rsidP="005C1DFC">
            <w:pPr>
              <w:spacing w:after="200" w:line="276" w:lineRule="auto"/>
              <w:rPr>
                <w:rFonts w:ascii="Calibri" w:hAnsi="Calibri"/>
                <w:sz w:val="22"/>
              </w:rPr>
            </w:pPr>
          </w:p>
          <w:p w14:paraId="3A8CBA9D" w14:textId="31FF6961" w:rsidR="005814F6" w:rsidRDefault="005814F6" w:rsidP="005C1DFC">
            <w:pPr>
              <w:spacing w:after="200" w:line="276" w:lineRule="auto"/>
              <w:rPr>
                <w:rFonts w:ascii="Calibri" w:hAnsi="Calibri"/>
                <w:sz w:val="22"/>
              </w:rPr>
            </w:pPr>
          </w:p>
        </w:tc>
        <w:tc>
          <w:tcPr>
            <w:tcW w:w="4672" w:type="dxa"/>
          </w:tcPr>
          <w:p w14:paraId="43DFE995" w14:textId="77777777" w:rsidR="00E84D19" w:rsidRDefault="00E84D19" w:rsidP="005C1DFC">
            <w:pPr>
              <w:spacing w:after="200" w:line="276" w:lineRule="auto"/>
              <w:rPr>
                <w:rFonts w:ascii="Calibri" w:hAnsi="Calibri"/>
                <w:sz w:val="22"/>
              </w:rPr>
            </w:pPr>
          </w:p>
        </w:tc>
      </w:tr>
      <w:tr w:rsidR="005814F6" w14:paraId="3AF97374" w14:textId="77777777" w:rsidTr="00453A88">
        <w:tc>
          <w:tcPr>
            <w:tcW w:w="9344" w:type="dxa"/>
            <w:gridSpan w:val="2"/>
          </w:tcPr>
          <w:p w14:paraId="34F520D6" w14:textId="1B0AA8BE" w:rsidR="005814F6" w:rsidRDefault="005814F6" w:rsidP="005814F6">
            <w:pPr>
              <w:spacing w:after="200" w:line="276" w:lineRule="auto"/>
              <w:jc w:val="center"/>
              <w:rPr>
                <w:rFonts w:ascii="Calibri" w:hAnsi="Calibri"/>
                <w:sz w:val="22"/>
              </w:rPr>
            </w:pPr>
            <w:r w:rsidRPr="005814F6">
              <w:rPr>
                <w:rFonts w:ascii="Calibri" w:hAnsi="Calibri"/>
                <w:b/>
                <w:bCs/>
                <w:sz w:val="22"/>
              </w:rPr>
              <w:lastRenderedPageBreak/>
              <w:t>konditional</w:t>
            </w:r>
            <w:r>
              <w:rPr>
                <w:rFonts w:ascii="Calibri" w:hAnsi="Calibri"/>
                <w:sz w:val="22"/>
              </w:rPr>
              <w:br/>
              <w:t xml:space="preserve">Diese Bausteine kennzeichnen </w:t>
            </w:r>
            <w:r w:rsidRPr="005814F6">
              <w:rPr>
                <w:rFonts w:ascii="Calibri" w:hAnsi="Calibri"/>
                <w:i/>
                <w:iCs/>
                <w:sz w:val="22"/>
              </w:rPr>
              <w:t>Bedingungen</w:t>
            </w:r>
            <w:r>
              <w:rPr>
                <w:rFonts w:ascii="Calibri" w:hAnsi="Calibri"/>
                <w:i/>
                <w:iCs/>
                <w:sz w:val="22"/>
              </w:rPr>
              <w:t>.</w:t>
            </w:r>
          </w:p>
        </w:tc>
      </w:tr>
      <w:tr w:rsidR="00E84D19" w14:paraId="53EB7C38" w14:textId="77777777" w:rsidTr="00E84D19">
        <w:tc>
          <w:tcPr>
            <w:tcW w:w="4672" w:type="dxa"/>
          </w:tcPr>
          <w:p w14:paraId="3F306B90" w14:textId="77777777" w:rsidR="00E84D19" w:rsidRDefault="00E84D19" w:rsidP="005C1DFC">
            <w:pPr>
              <w:spacing w:after="200" w:line="276" w:lineRule="auto"/>
              <w:rPr>
                <w:rFonts w:ascii="Calibri" w:hAnsi="Calibri"/>
                <w:sz w:val="22"/>
              </w:rPr>
            </w:pPr>
          </w:p>
          <w:p w14:paraId="2D791B69" w14:textId="77777777" w:rsidR="005814F6" w:rsidRDefault="005814F6" w:rsidP="005C1DFC">
            <w:pPr>
              <w:spacing w:after="200" w:line="276" w:lineRule="auto"/>
              <w:rPr>
                <w:rFonts w:ascii="Calibri" w:hAnsi="Calibri"/>
                <w:sz w:val="22"/>
              </w:rPr>
            </w:pPr>
          </w:p>
          <w:p w14:paraId="0ECF0E72" w14:textId="1E9DF97E" w:rsidR="005814F6" w:rsidRDefault="005814F6" w:rsidP="005C1DFC">
            <w:pPr>
              <w:spacing w:after="200" w:line="276" w:lineRule="auto"/>
              <w:rPr>
                <w:rFonts w:ascii="Calibri" w:hAnsi="Calibri"/>
                <w:sz w:val="22"/>
              </w:rPr>
            </w:pPr>
          </w:p>
        </w:tc>
        <w:tc>
          <w:tcPr>
            <w:tcW w:w="4672" w:type="dxa"/>
          </w:tcPr>
          <w:p w14:paraId="352EF9B6" w14:textId="77777777" w:rsidR="00E84D19" w:rsidRDefault="00E84D19" w:rsidP="005C1DFC">
            <w:pPr>
              <w:spacing w:after="200" w:line="276" w:lineRule="auto"/>
              <w:rPr>
                <w:rFonts w:ascii="Calibri" w:hAnsi="Calibri"/>
                <w:sz w:val="22"/>
              </w:rPr>
            </w:pPr>
          </w:p>
          <w:p w14:paraId="3869F512" w14:textId="1715AA32" w:rsidR="00A649E2" w:rsidRDefault="00A649E2" w:rsidP="005C1DFC">
            <w:pPr>
              <w:spacing w:after="200" w:line="276" w:lineRule="auto"/>
              <w:rPr>
                <w:rFonts w:ascii="Calibri" w:hAnsi="Calibri"/>
                <w:sz w:val="22"/>
              </w:rPr>
            </w:pPr>
          </w:p>
        </w:tc>
      </w:tr>
      <w:tr w:rsidR="00A649E2" w14:paraId="22BDE88B" w14:textId="77777777" w:rsidTr="00E738B3">
        <w:tc>
          <w:tcPr>
            <w:tcW w:w="9344" w:type="dxa"/>
            <w:gridSpan w:val="2"/>
          </w:tcPr>
          <w:p w14:paraId="5E41F0C0" w14:textId="0EAFE01B" w:rsidR="00A649E2" w:rsidRPr="00A649E2" w:rsidRDefault="00A649E2" w:rsidP="00A649E2">
            <w:pPr>
              <w:spacing w:after="200" w:line="276" w:lineRule="auto"/>
              <w:jc w:val="center"/>
              <w:rPr>
                <w:rFonts w:ascii="Calibri" w:hAnsi="Calibri"/>
                <w:b/>
                <w:bCs/>
                <w:sz w:val="22"/>
              </w:rPr>
            </w:pPr>
            <w:r>
              <w:rPr>
                <w:rFonts w:ascii="Calibri" w:hAnsi="Calibri"/>
                <w:b/>
                <w:bCs/>
                <w:sz w:val="22"/>
              </w:rPr>
              <w:t>v</w:t>
            </w:r>
            <w:r w:rsidRPr="00A649E2">
              <w:rPr>
                <w:rFonts w:ascii="Calibri" w:hAnsi="Calibri"/>
                <w:b/>
                <w:bCs/>
                <w:sz w:val="22"/>
              </w:rPr>
              <w:t>ergleichend</w:t>
            </w:r>
            <w:r>
              <w:rPr>
                <w:rFonts w:ascii="Calibri" w:hAnsi="Calibri"/>
                <w:b/>
                <w:bCs/>
                <w:sz w:val="22"/>
              </w:rPr>
              <w:br/>
            </w:r>
            <w:r w:rsidRPr="00A649E2">
              <w:rPr>
                <w:rFonts w:ascii="Calibri" w:hAnsi="Calibri"/>
                <w:sz w:val="22"/>
              </w:rPr>
              <w:t xml:space="preserve">Diese Formulierungen kennzeichnen </w:t>
            </w:r>
            <w:r w:rsidRPr="00A77A5B">
              <w:rPr>
                <w:rFonts w:ascii="Calibri" w:hAnsi="Calibri"/>
                <w:i/>
                <w:iCs/>
                <w:sz w:val="22"/>
              </w:rPr>
              <w:t>Vergleichsaspekte</w:t>
            </w:r>
            <w:r w:rsidRPr="00A649E2">
              <w:rPr>
                <w:rFonts w:ascii="Calibri" w:hAnsi="Calibri"/>
                <w:sz w:val="22"/>
              </w:rPr>
              <w:t>.</w:t>
            </w:r>
          </w:p>
        </w:tc>
      </w:tr>
      <w:tr w:rsidR="00A649E2" w14:paraId="082F0FA5" w14:textId="77777777" w:rsidTr="00E84D19">
        <w:tc>
          <w:tcPr>
            <w:tcW w:w="4672" w:type="dxa"/>
          </w:tcPr>
          <w:p w14:paraId="70569EA6" w14:textId="77777777" w:rsidR="00A649E2" w:rsidRDefault="00A649E2" w:rsidP="00A649E2">
            <w:pPr>
              <w:spacing w:after="200" w:line="276" w:lineRule="auto"/>
              <w:jc w:val="right"/>
              <w:rPr>
                <w:rFonts w:ascii="Calibri" w:hAnsi="Calibri"/>
                <w:sz w:val="22"/>
              </w:rPr>
            </w:pPr>
          </w:p>
          <w:p w14:paraId="2F71D399" w14:textId="77777777" w:rsidR="00A649E2" w:rsidRDefault="00A649E2" w:rsidP="00A649E2">
            <w:pPr>
              <w:spacing w:after="200" w:line="276" w:lineRule="auto"/>
              <w:rPr>
                <w:rFonts w:ascii="Calibri" w:hAnsi="Calibri"/>
                <w:sz w:val="22"/>
              </w:rPr>
            </w:pPr>
          </w:p>
          <w:p w14:paraId="45C99512" w14:textId="1426CC21" w:rsidR="00A649E2" w:rsidRDefault="00A649E2" w:rsidP="00A649E2">
            <w:pPr>
              <w:spacing w:after="200" w:line="276" w:lineRule="auto"/>
              <w:jc w:val="right"/>
              <w:rPr>
                <w:rFonts w:ascii="Calibri" w:hAnsi="Calibri"/>
                <w:sz w:val="22"/>
              </w:rPr>
            </w:pPr>
          </w:p>
        </w:tc>
        <w:tc>
          <w:tcPr>
            <w:tcW w:w="4672" w:type="dxa"/>
          </w:tcPr>
          <w:p w14:paraId="6168AFD9" w14:textId="77777777" w:rsidR="00A649E2" w:rsidRDefault="00A649E2" w:rsidP="005C1DFC">
            <w:pPr>
              <w:spacing w:after="200" w:line="276" w:lineRule="auto"/>
              <w:rPr>
                <w:rFonts w:ascii="Calibri" w:hAnsi="Calibri"/>
                <w:sz w:val="22"/>
              </w:rPr>
            </w:pPr>
          </w:p>
        </w:tc>
      </w:tr>
      <w:tr w:rsidR="00FA595A" w14:paraId="1FEA0810" w14:textId="77777777" w:rsidTr="004319C7">
        <w:tc>
          <w:tcPr>
            <w:tcW w:w="9344" w:type="dxa"/>
            <w:gridSpan w:val="2"/>
          </w:tcPr>
          <w:p w14:paraId="5C897212" w14:textId="2A3B8FA6" w:rsidR="00FA595A" w:rsidRPr="00FA595A" w:rsidRDefault="00FA595A" w:rsidP="00FA595A">
            <w:pPr>
              <w:spacing w:after="200" w:line="276" w:lineRule="auto"/>
              <w:jc w:val="center"/>
              <w:rPr>
                <w:rFonts w:ascii="Calibri" w:hAnsi="Calibri"/>
                <w:b/>
                <w:bCs/>
                <w:sz w:val="22"/>
              </w:rPr>
            </w:pPr>
            <w:r w:rsidRPr="00FA595A">
              <w:rPr>
                <w:rFonts w:ascii="Calibri" w:hAnsi="Calibri"/>
                <w:b/>
                <w:bCs/>
                <w:sz w:val="22"/>
              </w:rPr>
              <w:t>konzessiv</w:t>
            </w:r>
            <w:r>
              <w:rPr>
                <w:rFonts w:ascii="Calibri" w:hAnsi="Calibri"/>
                <w:b/>
                <w:bCs/>
                <w:sz w:val="22"/>
              </w:rPr>
              <w:br/>
            </w:r>
            <w:r>
              <w:rPr>
                <w:rFonts w:ascii="Calibri" w:hAnsi="Calibri"/>
                <w:sz w:val="22"/>
              </w:rPr>
              <w:t>Der Konzessivsatz liefert einen Gegengrund oder eine Einräumung. Man findet ihn, indem man die Frage „Trotz welcher Gründe?“ stellt.</w:t>
            </w:r>
          </w:p>
        </w:tc>
      </w:tr>
      <w:tr w:rsidR="00FA595A" w14:paraId="06889088" w14:textId="77777777" w:rsidTr="00E84D19">
        <w:tc>
          <w:tcPr>
            <w:tcW w:w="4672" w:type="dxa"/>
          </w:tcPr>
          <w:p w14:paraId="2B3DF3D2" w14:textId="77777777" w:rsidR="00FA595A" w:rsidRDefault="00FA595A" w:rsidP="005C1DFC">
            <w:pPr>
              <w:spacing w:after="200" w:line="276" w:lineRule="auto"/>
              <w:rPr>
                <w:rFonts w:ascii="Calibri" w:hAnsi="Calibri"/>
                <w:sz w:val="22"/>
              </w:rPr>
            </w:pPr>
          </w:p>
        </w:tc>
        <w:tc>
          <w:tcPr>
            <w:tcW w:w="4672" w:type="dxa"/>
          </w:tcPr>
          <w:p w14:paraId="6015E003" w14:textId="77777777" w:rsidR="00FA595A" w:rsidRDefault="00FA595A" w:rsidP="005C1DFC">
            <w:pPr>
              <w:spacing w:after="200" w:line="276" w:lineRule="auto"/>
              <w:rPr>
                <w:rFonts w:ascii="Calibri" w:hAnsi="Calibri"/>
                <w:sz w:val="22"/>
              </w:rPr>
            </w:pPr>
          </w:p>
          <w:p w14:paraId="246903A1" w14:textId="77777777" w:rsidR="00FA595A" w:rsidRDefault="00FA595A" w:rsidP="005C1DFC">
            <w:pPr>
              <w:spacing w:after="200" w:line="276" w:lineRule="auto"/>
              <w:rPr>
                <w:rFonts w:ascii="Calibri" w:hAnsi="Calibri"/>
                <w:sz w:val="22"/>
              </w:rPr>
            </w:pPr>
          </w:p>
          <w:p w14:paraId="02BF78C3" w14:textId="6BBCF959" w:rsidR="00FA595A" w:rsidRDefault="00FA595A" w:rsidP="005C1DFC">
            <w:pPr>
              <w:spacing w:after="200" w:line="276" w:lineRule="auto"/>
              <w:rPr>
                <w:rFonts w:ascii="Calibri" w:hAnsi="Calibri"/>
                <w:sz w:val="22"/>
              </w:rPr>
            </w:pPr>
          </w:p>
        </w:tc>
      </w:tr>
      <w:tr w:rsidR="00FA595A" w14:paraId="3ED4C642" w14:textId="77777777" w:rsidTr="00A615FB">
        <w:tc>
          <w:tcPr>
            <w:tcW w:w="9344" w:type="dxa"/>
            <w:gridSpan w:val="2"/>
          </w:tcPr>
          <w:p w14:paraId="16B52839" w14:textId="7158F52D" w:rsidR="00FA595A" w:rsidRDefault="00FA595A" w:rsidP="00FA595A">
            <w:pPr>
              <w:spacing w:after="200" w:line="276" w:lineRule="auto"/>
              <w:jc w:val="center"/>
              <w:rPr>
                <w:rFonts w:ascii="Calibri" w:hAnsi="Calibri"/>
                <w:sz w:val="22"/>
              </w:rPr>
            </w:pPr>
            <w:r w:rsidRPr="00FA595A">
              <w:rPr>
                <w:rFonts w:ascii="Calibri" w:hAnsi="Calibri"/>
                <w:b/>
                <w:bCs/>
                <w:sz w:val="22"/>
              </w:rPr>
              <w:t xml:space="preserve">final </w:t>
            </w:r>
            <w:r>
              <w:rPr>
                <w:rFonts w:ascii="Calibri" w:hAnsi="Calibri"/>
                <w:sz w:val="22"/>
              </w:rPr>
              <w:br/>
            </w:r>
            <w:r w:rsidRPr="00537D7B">
              <w:rPr>
                <w:rFonts w:ascii="Calibri" w:hAnsi="Calibri"/>
                <w:i/>
                <w:iCs/>
                <w:sz w:val="22"/>
              </w:rPr>
              <w:t>Ziele und Absichten</w:t>
            </w:r>
            <w:r>
              <w:rPr>
                <w:rFonts w:ascii="Calibri" w:hAnsi="Calibri"/>
                <w:sz w:val="22"/>
              </w:rPr>
              <w:t xml:space="preserve"> werden dargelegt.</w:t>
            </w:r>
          </w:p>
        </w:tc>
      </w:tr>
      <w:tr w:rsidR="00FA595A" w14:paraId="353D154B" w14:textId="77777777" w:rsidTr="00E84D19">
        <w:tc>
          <w:tcPr>
            <w:tcW w:w="4672" w:type="dxa"/>
          </w:tcPr>
          <w:p w14:paraId="55B43BF9" w14:textId="77777777" w:rsidR="00FA595A" w:rsidRDefault="00FA595A" w:rsidP="005C1DFC">
            <w:pPr>
              <w:spacing w:after="200" w:line="276" w:lineRule="auto"/>
              <w:rPr>
                <w:rFonts w:ascii="Calibri" w:hAnsi="Calibri"/>
                <w:sz w:val="22"/>
              </w:rPr>
            </w:pPr>
          </w:p>
          <w:p w14:paraId="4DD847B2" w14:textId="77777777" w:rsidR="00FA595A" w:rsidRDefault="00FA595A" w:rsidP="005C1DFC">
            <w:pPr>
              <w:spacing w:after="200" w:line="276" w:lineRule="auto"/>
              <w:rPr>
                <w:rFonts w:ascii="Calibri" w:hAnsi="Calibri"/>
                <w:sz w:val="22"/>
              </w:rPr>
            </w:pPr>
          </w:p>
          <w:p w14:paraId="5B3322B8" w14:textId="7D434B81" w:rsidR="00FA595A" w:rsidRDefault="00FA595A" w:rsidP="005C1DFC">
            <w:pPr>
              <w:spacing w:after="200" w:line="276" w:lineRule="auto"/>
              <w:rPr>
                <w:rFonts w:ascii="Calibri" w:hAnsi="Calibri"/>
                <w:sz w:val="22"/>
              </w:rPr>
            </w:pPr>
          </w:p>
        </w:tc>
        <w:tc>
          <w:tcPr>
            <w:tcW w:w="4672" w:type="dxa"/>
          </w:tcPr>
          <w:p w14:paraId="53C7DB83" w14:textId="77777777" w:rsidR="00FA595A" w:rsidRDefault="00FA595A" w:rsidP="005C1DFC">
            <w:pPr>
              <w:spacing w:after="200" w:line="276" w:lineRule="auto"/>
              <w:rPr>
                <w:rFonts w:ascii="Calibri" w:hAnsi="Calibri"/>
                <w:sz w:val="22"/>
              </w:rPr>
            </w:pPr>
          </w:p>
        </w:tc>
      </w:tr>
      <w:tr w:rsidR="00FA595A" w14:paraId="01374A47" w14:textId="77777777" w:rsidTr="00FD51DA">
        <w:tc>
          <w:tcPr>
            <w:tcW w:w="9344" w:type="dxa"/>
            <w:gridSpan w:val="2"/>
          </w:tcPr>
          <w:p w14:paraId="3C361102" w14:textId="78F975F9" w:rsidR="00FA595A" w:rsidRDefault="00FA595A" w:rsidP="00FA595A">
            <w:pPr>
              <w:spacing w:after="200" w:line="276" w:lineRule="auto"/>
              <w:jc w:val="center"/>
              <w:rPr>
                <w:rFonts w:ascii="Calibri" w:hAnsi="Calibri"/>
                <w:sz w:val="22"/>
              </w:rPr>
            </w:pPr>
            <w:r w:rsidRPr="00FA595A">
              <w:rPr>
                <w:rFonts w:ascii="Calibri" w:hAnsi="Calibri"/>
                <w:b/>
                <w:bCs/>
                <w:sz w:val="22"/>
              </w:rPr>
              <w:t>adversativ</w:t>
            </w:r>
            <w:r>
              <w:rPr>
                <w:rFonts w:ascii="Calibri" w:hAnsi="Calibri"/>
                <w:sz w:val="22"/>
              </w:rPr>
              <w:t xml:space="preserve"> </w:t>
            </w:r>
            <w:r>
              <w:rPr>
                <w:rFonts w:ascii="Calibri" w:hAnsi="Calibri"/>
                <w:sz w:val="22"/>
              </w:rPr>
              <w:br/>
            </w:r>
            <w:proofErr w:type="gramStart"/>
            <w:r>
              <w:rPr>
                <w:rFonts w:ascii="Calibri" w:hAnsi="Calibri"/>
                <w:sz w:val="22"/>
              </w:rPr>
              <w:t>Hier</w:t>
            </w:r>
            <w:proofErr w:type="gramEnd"/>
            <w:r>
              <w:rPr>
                <w:rFonts w:ascii="Calibri" w:hAnsi="Calibri"/>
                <w:sz w:val="22"/>
              </w:rPr>
              <w:t xml:space="preserve"> wird eine </w:t>
            </w:r>
            <w:r w:rsidRPr="00537D7B">
              <w:rPr>
                <w:rFonts w:ascii="Calibri" w:hAnsi="Calibri"/>
                <w:i/>
                <w:iCs/>
                <w:sz w:val="22"/>
              </w:rPr>
              <w:t>Entgegensetzung</w:t>
            </w:r>
            <w:r>
              <w:rPr>
                <w:rFonts w:ascii="Calibri" w:hAnsi="Calibri"/>
                <w:sz w:val="22"/>
              </w:rPr>
              <w:t xml:space="preserve"> gegeben.</w:t>
            </w:r>
          </w:p>
        </w:tc>
      </w:tr>
      <w:tr w:rsidR="00FA595A" w14:paraId="130DAF1E" w14:textId="77777777" w:rsidTr="00E84D19">
        <w:tc>
          <w:tcPr>
            <w:tcW w:w="4672" w:type="dxa"/>
          </w:tcPr>
          <w:p w14:paraId="63691625" w14:textId="77777777" w:rsidR="00FA595A" w:rsidRDefault="00FA595A" w:rsidP="005C1DFC">
            <w:pPr>
              <w:spacing w:after="200" w:line="276" w:lineRule="auto"/>
              <w:rPr>
                <w:rFonts w:ascii="Calibri" w:hAnsi="Calibri"/>
                <w:sz w:val="22"/>
              </w:rPr>
            </w:pPr>
          </w:p>
          <w:p w14:paraId="1B043F91" w14:textId="77777777" w:rsidR="00FA595A" w:rsidRDefault="00FA595A" w:rsidP="005C1DFC">
            <w:pPr>
              <w:spacing w:after="200" w:line="276" w:lineRule="auto"/>
              <w:rPr>
                <w:rFonts w:ascii="Calibri" w:hAnsi="Calibri"/>
                <w:sz w:val="22"/>
              </w:rPr>
            </w:pPr>
          </w:p>
          <w:p w14:paraId="291757C1" w14:textId="520EC0B8" w:rsidR="00FA595A" w:rsidRDefault="00FA595A" w:rsidP="005C1DFC">
            <w:pPr>
              <w:spacing w:after="200" w:line="276" w:lineRule="auto"/>
              <w:rPr>
                <w:rFonts w:ascii="Calibri" w:hAnsi="Calibri"/>
                <w:sz w:val="22"/>
              </w:rPr>
            </w:pPr>
          </w:p>
        </w:tc>
        <w:tc>
          <w:tcPr>
            <w:tcW w:w="4672" w:type="dxa"/>
          </w:tcPr>
          <w:p w14:paraId="7F8E5988" w14:textId="77777777" w:rsidR="00FA595A" w:rsidRDefault="00FA595A" w:rsidP="005C1DFC">
            <w:pPr>
              <w:spacing w:after="200" w:line="276" w:lineRule="auto"/>
              <w:rPr>
                <w:rFonts w:ascii="Calibri" w:hAnsi="Calibri"/>
                <w:sz w:val="22"/>
              </w:rPr>
            </w:pPr>
          </w:p>
        </w:tc>
      </w:tr>
    </w:tbl>
    <w:p w14:paraId="50915026" w14:textId="71BC9892" w:rsidR="00E84D19" w:rsidRDefault="00E84D19" w:rsidP="005C1DFC">
      <w:pPr>
        <w:spacing w:after="200" w:line="276" w:lineRule="auto"/>
        <w:rPr>
          <w:rFonts w:ascii="Calibri" w:hAnsi="Calibri"/>
          <w:sz w:val="22"/>
        </w:rPr>
      </w:pPr>
    </w:p>
    <w:p w14:paraId="6B360B61" w14:textId="77777777" w:rsidR="00E84D19" w:rsidRPr="005C1DFC" w:rsidRDefault="00E84D19" w:rsidP="005C1DFC">
      <w:pPr>
        <w:spacing w:after="200" w:line="276" w:lineRule="auto"/>
        <w:rPr>
          <w:rFonts w:ascii="Calibri" w:hAnsi="Calibri"/>
          <w:sz w:val="22"/>
        </w:rPr>
      </w:pPr>
    </w:p>
    <w:p w14:paraId="4E352A1D" w14:textId="0B5D061E" w:rsidR="00B53828" w:rsidRDefault="00B53828" w:rsidP="005C1DFC">
      <w:pPr>
        <w:tabs>
          <w:tab w:val="left" w:pos="8040"/>
        </w:tabs>
        <w:spacing w:after="200" w:line="276" w:lineRule="auto"/>
        <w:rPr>
          <w:rFonts w:ascii="Calibri" w:hAnsi="Calibri"/>
          <w:sz w:val="22"/>
        </w:rPr>
      </w:pPr>
      <w:r>
        <w:rPr>
          <w:rFonts w:ascii="Calibri" w:hAnsi="Calibri"/>
          <w:sz w:val="22"/>
        </w:rPr>
        <w:t>-</w:t>
      </w:r>
    </w:p>
    <w:sectPr w:rsidR="00B53828" w:rsidSect="00D16418">
      <w:headerReference w:type="default" r:id="rId10"/>
      <w:footerReference w:type="default" r:id="rId1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5E65" w14:textId="77777777" w:rsidR="001C59DE" w:rsidRDefault="001C59DE" w:rsidP="005C5D10">
      <w:r>
        <w:separator/>
      </w:r>
    </w:p>
  </w:endnote>
  <w:endnote w:type="continuationSeparator" w:id="0">
    <w:p w14:paraId="26A9E44A" w14:textId="77777777" w:rsidR="001C59DE" w:rsidRDefault="001C59DE"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33"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905B" w14:textId="77777777" w:rsidR="001C59DE" w:rsidRDefault="001C59DE" w:rsidP="005C5D10">
      <w:r>
        <w:separator/>
      </w:r>
    </w:p>
  </w:footnote>
  <w:footnote w:type="continuationSeparator" w:id="0">
    <w:p w14:paraId="31BE5AF0" w14:textId="77777777" w:rsidR="001C59DE" w:rsidRDefault="001C59DE"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2B4" w14:textId="7D1281C6"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2F2616EE"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7BE3D885" w:rsidR="0018092A" w:rsidRPr="007702B9" w:rsidRDefault="00E84D19" w:rsidP="00FF324C">
                            <w:pPr>
                              <w:tabs>
                                <w:tab w:val="right" w:pos="9214"/>
                              </w:tabs>
                              <w:rPr>
                                <w:b/>
                                <w:sz w:val="20"/>
                              </w:rPr>
                            </w:pPr>
                            <w:r>
                              <w:rPr>
                                <w:rFonts w:ascii="Calibri" w:hAnsi="Calibri" w:cs="Calibri"/>
                                <w:b/>
                                <w:sz w:val="20"/>
                              </w:rPr>
                              <w:t>Literarische Erörterung</w:t>
                            </w:r>
                            <w:r w:rsidR="006C0217" w:rsidRPr="00C36A0C">
                              <w:rPr>
                                <w:rFonts w:ascii="Calibri" w:hAnsi="Calibri" w:cs="Calibri"/>
                                <w:b/>
                                <w:sz w:val="20"/>
                              </w:rPr>
                              <w:tab/>
                            </w:r>
                            <w:r>
                              <w:rPr>
                                <w:rFonts w:ascii="Calibri" w:hAnsi="Calibri" w:cs="Calibri"/>
                                <w:b/>
                                <w:sz w:val="20"/>
                              </w:rPr>
                              <w:t>Formulierungsbausteine</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7"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8"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2F2616EE"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p>
                  </w:txbxContent>
                </v:textbox>
              </v:shape>
              <v:shape id="Text Box 5" o:spid="_x0000_s1029"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7BE3D885" w:rsidR="0018092A" w:rsidRPr="007702B9" w:rsidRDefault="00E84D19" w:rsidP="00FF324C">
                      <w:pPr>
                        <w:tabs>
                          <w:tab w:val="right" w:pos="9214"/>
                        </w:tabs>
                        <w:rPr>
                          <w:b/>
                          <w:sz w:val="20"/>
                        </w:rPr>
                      </w:pPr>
                      <w:r>
                        <w:rPr>
                          <w:rFonts w:ascii="Calibri" w:hAnsi="Calibri" w:cs="Calibri"/>
                          <w:b/>
                          <w:sz w:val="20"/>
                        </w:rPr>
                        <w:t>Literarische Erörterung</w:t>
                      </w:r>
                      <w:r w:rsidR="006C0217" w:rsidRPr="00C36A0C">
                        <w:rPr>
                          <w:rFonts w:ascii="Calibri" w:hAnsi="Calibri" w:cs="Calibri"/>
                          <w:b/>
                          <w:sz w:val="20"/>
                        </w:rPr>
                        <w:tab/>
                      </w:r>
                      <w:r>
                        <w:rPr>
                          <w:rFonts w:ascii="Calibri" w:hAnsi="Calibri" w:cs="Calibri"/>
                          <w:b/>
                          <w:sz w:val="20"/>
                        </w:rPr>
                        <w:t>Formulierungsbausteine</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7pt;height:11.7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0BD0742"/>
    <w:multiLevelType w:val="hybridMultilevel"/>
    <w:tmpl w:val="FED830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57650954">
    <w:abstractNumId w:val="9"/>
  </w:num>
  <w:num w:numId="2" w16cid:durableId="708603336">
    <w:abstractNumId w:val="10"/>
  </w:num>
  <w:num w:numId="3" w16cid:durableId="751242557">
    <w:abstractNumId w:val="5"/>
  </w:num>
  <w:num w:numId="4" w16cid:durableId="560098364">
    <w:abstractNumId w:val="1"/>
  </w:num>
  <w:num w:numId="5" w16cid:durableId="2115636223">
    <w:abstractNumId w:val="3"/>
  </w:num>
  <w:num w:numId="6" w16cid:durableId="1579053494">
    <w:abstractNumId w:val="0"/>
  </w:num>
  <w:num w:numId="7" w16cid:durableId="1401709643">
    <w:abstractNumId w:val="8"/>
  </w:num>
  <w:num w:numId="8" w16cid:durableId="229273534">
    <w:abstractNumId w:val="6"/>
  </w:num>
  <w:num w:numId="9" w16cid:durableId="357395039">
    <w:abstractNumId w:val="7"/>
  </w:num>
  <w:num w:numId="10" w16cid:durableId="1127746522">
    <w:abstractNumId w:val="2"/>
  </w:num>
  <w:num w:numId="11" w16cid:durableId="195972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C59DE"/>
    <w:rsid w:val="001D2EC1"/>
    <w:rsid w:val="001F3F4B"/>
    <w:rsid w:val="00207547"/>
    <w:rsid w:val="002075A3"/>
    <w:rsid w:val="002117CB"/>
    <w:rsid w:val="00213EFF"/>
    <w:rsid w:val="00220DA5"/>
    <w:rsid w:val="00234507"/>
    <w:rsid w:val="002571D9"/>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37D7B"/>
    <w:rsid w:val="00552335"/>
    <w:rsid w:val="0055731A"/>
    <w:rsid w:val="00566D2D"/>
    <w:rsid w:val="00573C98"/>
    <w:rsid w:val="005814F6"/>
    <w:rsid w:val="00585156"/>
    <w:rsid w:val="00587018"/>
    <w:rsid w:val="005931AF"/>
    <w:rsid w:val="00597B14"/>
    <w:rsid w:val="005A24CB"/>
    <w:rsid w:val="005A37CF"/>
    <w:rsid w:val="005B1C09"/>
    <w:rsid w:val="005B6982"/>
    <w:rsid w:val="005C1DFC"/>
    <w:rsid w:val="005C5D10"/>
    <w:rsid w:val="005C61B4"/>
    <w:rsid w:val="005D278A"/>
    <w:rsid w:val="005F3727"/>
    <w:rsid w:val="00607FDE"/>
    <w:rsid w:val="0061090D"/>
    <w:rsid w:val="00623549"/>
    <w:rsid w:val="00624B0B"/>
    <w:rsid w:val="00656DB1"/>
    <w:rsid w:val="00657A91"/>
    <w:rsid w:val="00663649"/>
    <w:rsid w:val="00663785"/>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0B0D"/>
    <w:rsid w:val="009F721B"/>
    <w:rsid w:val="00A07A41"/>
    <w:rsid w:val="00A11348"/>
    <w:rsid w:val="00A13EEB"/>
    <w:rsid w:val="00A1634C"/>
    <w:rsid w:val="00A347EF"/>
    <w:rsid w:val="00A4522B"/>
    <w:rsid w:val="00A577E3"/>
    <w:rsid w:val="00A649E2"/>
    <w:rsid w:val="00A64FFA"/>
    <w:rsid w:val="00A67982"/>
    <w:rsid w:val="00A71591"/>
    <w:rsid w:val="00A72CE5"/>
    <w:rsid w:val="00A77A5B"/>
    <w:rsid w:val="00A82CEB"/>
    <w:rsid w:val="00A86184"/>
    <w:rsid w:val="00A909E4"/>
    <w:rsid w:val="00A94EBA"/>
    <w:rsid w:val="00AA0821"/>
    <w:rsid w:val="00AB0BCB"/>
    <w:rsid w:val="00AB310A"/>
    <w:rsid w:val="00AB7090"/>
    <w:rsid w:val="00AC1E9C"/>
    <w:rsid w:val="00AD63DE"/>
    <w:rsid w:val="00AE5DD3"/>
    <w:rsid w:val="00AF1651"/>
    <w:rsid w:val="00B0584B"/>
    <w:rsid w:val="00B20DD8"/>
    <w:rsid w:val="00B310C5"/>
    <w:rsid w:val="00B4082D"/>
    <w:rsid w:val="00B50CC0"/>
    <w:rsid w:val="00B53828"/>
    <w:rsid w:val="00B656F3"/>
    <w:rsid w:val="00B67584"/>
    <w:rsid w:val="00B81CEC"/>
    <w:rsid w:val="00BB2627"/>
    <w:rsid w:val="00BB6CC4"/>
    <w:rsid w:val="00BC0B7A"/>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84D19"/>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4B32"/>
    <w:rsid w:val="00F95E43"/>
    <w:rsid w:val="00FA29B4"/>
    <w:rsid w:val="00FA3480"/>
    <w:rsid w:val="00FA41F2"/>
    <w:rsid w:val="00FA595A"/>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8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Absatz-Standardschriftart"/>
    <w:rsid w:val="00FA595A"/>
  </w:style>
  <w:style w:type="character" w:styleId="NichtaufgelsteErwhnung">
    <w:name w:val="Unresolved Mention"/>
    <w:basedOn w:val="Absatz-Standardschriftart"/>
    <w:uiPriority w:val="99"/>
    <w:semiHidden/>
    <w:unhideWhenUsed/>
    <w:rsid w:val="00537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046299982">
      <w:bodyDiv w:val="1"/>
      <w:marLeft w:val="0"/>
      <w:marRight w:val="0"/>
      <w:marTop w:val="0"/>
      <w:marBottom w:val="0"/>
      <w:divBdr>
        <w:top w:val="none" w:sz="0" w:space="0" w:color="auto"/>
        <w:left w:val="none" w:sz="0" w:space="0" w:color="auto"/>
        <w:bottom w:val="none" w:sz="0" w:space="0" w:color="auto"/>
        <w:right w:val="none" w:sz="0" w:space="0" w:color="auto"/>
      </w:divBdr>
      <w:divsChild>
        <w:div w:id="728380635">
          <w:marLeft w:val="0"/>
          <w:marRight w:val="0"/>
          <w:marTop w:val="0"/>
          <w:marBottom w:val="0"/>
          <w:divBdr>
            <w:top w:val="none" w:sz="0" w:space="0" w:color="auto"/>
            <w:left w:val="none" w:sz="0" w:space="0" w:color="auto"/>
            <w:bottom w:val="none" w:sz="0" w:space="0" w:color="auto"/>
            <w:right w:val="none" w:sz="0" w:space="0" w:color="auto"/>
          </w:divBdr>
        </w:div>
      </w:divsChild>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inga.fi/s/FCXWMX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1425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Katharina Blum</cp:lastModifiedBy>
  <cp:revision>3</cp:revision>
  <cp:lastPrinted>2016-11-27T12:11:00Z</cp:lastPrinted>
  <dcterms:created xsi:type="dcterms:W3CDTF">2022-12-12T16:43:00Z</dcterms:created>
  <dcterms:modified xsi:type="dcterms:W3CDTF">2023-01-27T11:30:00Z</dcterms:modified>
</cp:coreProperties>
</file>