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D63A" w14:textId="01BF6592" w:rsidR="005D395A" w:rsidRPr="00991629" w:rsidRDefault="00991629">
      <w:pPr>
        <w:rPr>
          <w:rFonts w:asciiTheme="majorHAnsi" w:hAnsiTheme="majorHAnsi"/>
          <w:b/>
        </w:rPr>
      </w:pPr>
      <w:bookmarkStart w:id="0" w:name="_GoBack"/>
      <w:bookmarkEnd w:id="0"/>
      <w:r w:rsidRPr="00991629">
        <w:rPr>
          <w:rFonts w:asciiTheme="majorHAnsi" w:hAnsiTheme="majorHAnsi"/>
          <w:b/>
        </w:rPr>
        <w:t>Curriculare Verortung (Anschluss an LS-Beispielcurriculum 9/10)</w:t>
      </w:r>
    </w:p>
    <w:p w14:paraId="69941881" w14:textId="77777777" w:rsidR="00991629" w:rsidRDefault="00991629">
      <w:pPr>
        <w:rPr>
          <w:rFonts w:asciiTheme="majorHAnsi" w:hAnsiTheme="majorHAnsi"/>
        </w:rPr>
      </w:pPr>
    </w:p>
    <w:p w14:paraId="717CF7DC" w14:textId="77777777" w:rsidR="00991629" w:rsidRDefault="00991629" w:rsidP="00991629">
      <w:pPr>
        <w:rPr>
          <w:rFonts w:asciiTheme="majorHAnsi" w:eastAsia="Times New Roman" w:hAnsiTheme="majorHAnsi" w:cs="Times New Roman"/>
        </w:rPr>
      </w:pPr>
      <w:r w:rsidRPr="00991629">
        <w:rPr>
          <w:rFonts w:asciiTheme="majorHAnsi" w:eastAsia="Times New Roman" w:hAnsiTheme="majorHAnsi" w:cs="Times New Roman"/>
        </w:rPr>
        <w:t>Die Methoden Feedback (FB) und Reziprokes Lehren (RL) können im Rahmen des Beispielcurriculums ergänzend im Rahmen des binnendifferenzierenden Unterrichts und/oder der Vertiefungsstunden eingesetzt werden.</w:t>
      </w:r>
    </w:p>
    <w:p w14:paraId="623D9B72" w14:textId="77777777" w:rsidR="00991629" w:rsidRDefault="00991629" w:rsidP="00991629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Der „reguläre“ Unterricht in den Einheiten 9.1, 9.3, 10.2 und 10.5 kann entlastet werden, indem mithilfe der Feedback-Methode das Schreiben und Überarbeiten in die Vertiefungsstunde verlagert wird.</w:t>
      </w:r>
      <w:r w:rsidR="00BF10C6">
        <w:rPr>
          <w:rFonts w:asciiTheme="majorHAnsi" w:eastAsia="Times New Roman" w:hAnsiTheme="majorHAnsi" w:cs="Times New Roman"/>
        </w:rPr>
        <w:t xml:space="preserve"> </w:t>
      </w:r>
    </w:p>
    <w:p w14:paraId="70814D3C" w14:textId="505A4AB8" w:rsidR="00991629" w:rsidRDefault="00991629" w:rsidP="00991629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Reziprokes Lehren kann genutzt werden, um insbesondere in den Einheiten 9.5, 10.2 und 10.3 intensiv mit literarischen und nicht-literarischen Texten zu arbeiten.</w:t>
      </w:r>
      <w:r w:rsidR="00BF10C6" w:rsidRPr="00BF10C6">
        <w:rPr>
          <w:rFonts w:asciiTheme="majorHAnsi" w:eastAsia="Times New Roman" w:hAnsiTheme="majorHAnsi" w:cs="Times New Roman"/>
        </w:rPr>
        <w:t xml:space="preserve"> </w:t>
      </w:r>
      <w:r w:rsidR="00BF10C6">
        <w:rPr>
          <w:rFonts w:asciiTheme="majorHAnsi" w:eastAsia="Times New Roman" w:hAnsiTheme="majorHAnsi" w:cs="Times New Roman"/>
        </w:rPr>
        <w:t>Prinzipiell kann gesagt werden, dass sich das Reziproke Lehren zur Informationsbeschaffung (z. B. Epochenwissen) und zur Vorbereitung der Texterörterung und des Essays bzw. des materialgestützten Schreibens</w:t>
      </w:r>
      <w:r w:rsidR="00BF0408">
        <w:rPr>
          <w:rFonts w:asciiTheme="majorHAnsi" w:eastAsia="Times New Roman" w:hAnsiTheme="majorHAnsi" w:cs="Times New Roman"/>
        </w:rPr>
        <w:t xml:space="preserve"> eignet</w:t>
      </w:r>
      <w:r w:rsidR="00BF10C6">
        <w:rPr>
          <w:rFonts w:asciiTheme="majorHAnsi" w:eastAsia="Times New Roman" w:hAnsiTheme="majorHAnsi" w:cs="Times New Roman"/>
        </w:rPr>
        <w:t xml:space="preserve">. </w:t>
      </w:r>
      <w:r>
        <w:rPr>
          <w:rFonts w:asciiTheme="majorHAnsi" w:eastAsia="Times New Roman" w:hAnsiTheme="majorHAnsi" w:cs="Times New Roman"/>
        </w:rPr>
        <w:t xml:space="preserve">Eine enge Abstimmung mit dem „regulären“ Unterricht ist </w:t>
      </w:r>
      <w:r w:rsidR="00BF10C6">
        <w:rPr>
          <w:rFonts w:asciiTheme="majorHAnsi" w:eastAsia="Times New Roman" w:hAnsiTheme="majorHAnsi" w:cs="Times New Roman"/>
        </w:rPr>
        <w:t>bei beiden Methoden also unabdingbar</w:t>
      </w:r>
      <w:r>
        <w:rPr>
          <w:rFonts w:asciiTheme="majorHAnsi" w:eastAsia="Times New Roman" w:hAnsiTheme="majorHAnsi" w:cs="Times New Roman"/>
        </w:rPr>
        <w:t>.</w:t>
      </w:r>
    </w:p>
    <w:p w14:paraId="2B7CFB6C" w14:textId="77777777" w:rsidR="00991629" w:rsidRPr="00991629" w:rsidRDefault="00991629" w:rsidP="00991629">
      <w:pPr>
        <w:rPr>
          <w:rFonts w:asciiTheme="majorHAnsi" w:eastAsia="Times New Roman" w:hAnsiTheme="majorHAnsi" w:cs="Times New Roman"/>
        </w:rPr>
      </w:pPr>
    </w:p>
    <w:p w14:paraId="74C62530" w14:textId="77777777" w:rsidR="00991629" w:rsidRPr="00991629" w:rsidRDefault="00991629" w:rsidP="00991629">
      <w:pPr>
        <w:rPr>
          <w:rFonts w:asciiTheme="majorHAnsi" w:eastAsia="Times New Roman" w:hAnsiTheme="majorHAnsi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4007"/>
        <w:gridCol w:w="599"/>
      </w:tblGrid>
      <w:tr w:rsidR="00991629" w:rsidRPr="008759E3" w14:paraId="2A2B0078" w14:textId="77777777" w:rsidTr="00865ED7">
        <w:tc>
          <w:tcPr>
            <w:tcW w:w="3936" w:type="dxa"/>
          </w:tcPr>
          <w:p w14:paraId="708DA329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Klasse 9</w:t>
            </w:r>
          </w:p>
        </w:tc>
        <w:tc>
          <w:tcPr>
            <w:tcW w:w="670" w:type="dxa"/>
          </w:tcPr>
          <w:p w14:paraId="04B95E80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</w:tcPr>
          <w:p w14:paraId="566AF8B0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Klasse 10</w:t>
            </w:r>
          </w:p>
        </w:tc>
        <w:tc>
          <w:tcPr>
            <w:tcW w:w="599" w:type="dxa"/>
          </w:tcPr>
          <w:p w14:paraId="60D36DDF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91629" w:rsidRPr="008759E3" w14:paraId="2EB02E9A" w14:textId="77777777" w:rsidTr="00865ED7">
        <w:tc>
          <w:tcPr>
            <w:tcW w:w="3936" w:type="dxa"/>
          </w:tcPr>
          <w:p w14:paraId="4EBDCA1E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9.1 Schreibformen zur Selbstdarstellung</w:t>
            </w:r>
          </w:p>
        </w:tc>
        <w:tc>
          <w:tcPr>
            <w:tcW w:w="670" w:type="dxa"/>
          </w:tcPr>
          <w:p w14:paraId="61FFC886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FB</w:t>
            </w:r>
          </w:p>
        </w:tc>
        <w:tc>
          <w:tcPr>
            <w:tcW w:w="4007" w:type="dxa"/>
          </w:tcPr>
          <w:p w14:paraId="2CBC9E8A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10.1 Kommunikation</w:t>
            </w:r>
          </w:p>
        </w:tc>
        <w:tc>
          <w:tcPr>
            <w:tcW w:w="599" w:type="dxa"/>
          </w:tcPr>
          <w:p w14:paraId="5B1AD026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91629" w:rsidRPr="008759E3" w14:paraId="4DB6B270" w14:textId="77777777" w:rsidTr="00865ED7">
        <w:tc>
          <w:tcPr>
            <w:tcW w:w="3936" w:type="dxa"/>
          </w:tcPr>
          <w:p w14:paraId="37F899E5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9.2 Was ist tragisch, was ist komisch? – Ein Dramenvergleich</w:t>
            </w:r>
          </w:p>
        </w:tc>
        <w:tc>
          <w:tcPr>
            <w:tcW w:w="670" w:type="dxa"/>
          </w:tcPr>
          <w:p w14:paraId="5734B8C3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</w:tcPr>
          <w:p w14:paraId="1CA0F120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10.2 Textgebundene Erörterung</w:t>
            </w:r>
          </w:p>
        </w:tc>
        <w:tc>
          <w:tcPr>
            <w:tcW w:w="599" w:type="dxa"/>
          </w:tcPr>
          <w:p w14:paraId="654F1BC2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RL</w:t>
            </w:r>
          </w:p>
          <w:p w14:paraId="26E8D817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FB</w:t>
            </w:r>
          </w:p>
        </w:tc>
      </w:tr>
      <w:tr w:rsidR="00991629" w:rsidRPr="008759E3" w14:paraId="15D8EC86" w14:textId="77777777" w:rsidTr="00865ED7">
        <w:tc>
          <w:tcPr>
            <w:tcW w:w="3936" w:type="dxa"/>
          </w:tcPr>
          <w:p w14:paraId="74E8427C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9.3 Dialektisches Argumentieren</w:t>
            </w:r>
          </w:p>
        </w:tc>
        <w:tc>
          <w:tcPr>
            <w:tcW w:w="670" w:type="dxa"/>
          </w:tcPr>
          <w:p w14:paraId="0D4B7A0C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FB</w:t>
            </w:r>
          </w:p>
        </w:tc>
        <w:tc>
          <w:tcPr>
            <w:tcW w:w="4007" w:type="dxa"/>
          </w:tcPr>
          <w:p w14:paraId="2395E086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10.3 Die Epoche der Aufklärung</w:t>
            </w:r>
          </w:p>
          <w:p w14:paraId="47D33711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0CF45E78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RL</w:t>
            </w:r>
          </w:p>
        </w:tc>
      </w:tr>
      <w:tr w:rsidR="00991629" w:rsidRPr="008759E3" w14:paraId="3CD63C63" w14:textId="77777777" w:rsidTr="00865ED7">
        <w:tc>
          <w:tcPr>
            <w:tcW w:w="3936" w:type="dxa"/>
          </w:tcPr>
          <w:p w14:paraId="3DF69CBB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 xml:space="preserve">9.4 Film und </w:t>
            </w:r>
            <w:proofErr w:type="spellStart"/>
            <w:r w:rsidRPr="008759E3">
              <w:rPr>
                <w:rFonts w:eastAsia="Times New Roman" w:cs="Times New Roman"/>
                <w:sz w:val="22"/>
                <w:szCs w:val="22"/>
              </w:rPr>
              <w:t>Graphic</w:t>
            </w:r>
            <w:proofErr w:type="spellEnd"/>
            <w:r w:rsidRPr="008759E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59E3">
              <w:rPr>
                <w:rFonts w:eastAsia="Times New Roman" w:cs="Times New Roman"/>
                <w:sz w:val="22"/>
                <w:szCs w:val="22"/>
              </w:rPr>
              <w:t>Novel</w:t>
            </w:r>
            <w:proofErr w:type="spellEnd"/>
            <w:r w:rsidRPr="008759E3">
              <w:rPr>
                <w:rFonts w:eastAsia="Times New Roman" w:cs="Times New Roman"/>
                <w:sz w:val="22"/>
                <w:szCs w:val="22"/>
              </w:rPr>
              <w:t xml:space="preserve"> – „Anders sein“</w:t>
            </w:r>
          </w:p>
        </w:tc>
        <w:tc>
          <w:tcPr>
            <w:tcW w:w="670" w:type="dxa"/>
          </w:tcPr>
          <w:p w14:paraId="38E799C9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</w:tcPr>
          <w:p w14:paraId="2803846B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10.4 Drama des Sturm und Drang</w:t>
            </w:r>
          </w:p>
        </w:tc>
        <w:tc>
          <w:tcPr>
            <w:tcW w:w="599" w:type="dxa"/>
          </w:tcPr>
          <w:p w14:paraId="29FBD2E4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91629" w:rsidRPr="008759E3" w14:paraId="76BD1070" w14:textId="77777777" w:rsidTr="00865ED7">
        <w:tc>
          <w:tcPr>
            <w:tcW w:w="3936" w:type="dxa"/>
          </w:tcPr>
          <w:p w14:paraId="01D7675A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9.5 Zeitung</w:t>
            </w:r>
          </w:p>
        </w:tc>
        <w:tc>
          <w:tcPr>
            <w:tcW w:w="670" w:type="dxa"/>
          </w:tcPr>
          <w:p w14:paraId="3FA4A2D0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RL</w:t>
            </w:r>
          </w:p>
        </w:tc>
        <w:tc>
          <w:tcPr>
            <w:tcW w:w="4007" w:type="dxa"/>
          </w:tcPr>
          <w:p w14:paraId="2A06EB78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10.5 Annäherung an das essayistische Schreiben</w:t>
            </w:r>
          </w:p>
        </w:tc>
        <w:tc>
          <w:tcPr>
            <w:tcW w:w="599" w:type="dxa"/>
          </w:tcPr>
          <w:p w14:paraId="66842645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FB</w:t>
            </w:r>
          </w:p>
        </w:tc>
      </w:tr>
      <w:tr w:rsidR="00991629" w:rsidRPr="008759E3" w14:paraId="6CAF79E4" w14:textId="77777777" w:rsidTr="00865ED7">
        <w:tc>
          <w:tcPr>
            <w:tcW w:w="3936" w:type="dxa"/>
          </w:tcPr>
          <w:p w14:paraId="4E2C7DB1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9.6 Barock</w:t>
            </w:r>
          </w:p>
        </w:tc>
        <w:tc>
          <w:tcPr>
            <w:tcW w:w="670" w:type="dxa"/>
          </w:tcPr>
          <w:p w14:paraId="1BDEC373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07" w:type="dxa"/>
          </w:tcPr>
          <w:p w14:paraId="4BFCC594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10.6 Text und Film – Gegenwarts</w:t>
            </w:r>
            <w:r w:rsidRPr="008759E3">
              <w:rPr>
                <w:rFonts w:eastAsia="Times New Roman" w:cs="Times New Roman"/>
                <w:sz w:val="22"/>
                <w:szCs w:val="22"/>
              </w:rPr>
              <w:t>literatur und ihre Verfilmung</w:t>
            </w:r>
          </w:p>
        </w:tc>
        <w:tc>
          <w:tcPr>
            <w:tcW w:w="599" w:type="dxa"/>
          </w:tcPr>
          <w:p w14:paraId="3B349E73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91629" w:rsidRPr="008759E3" w14:paraId="0019BBA3" w14:textId="77777777" w:rsidTr="00865ED7">
        <w:tc>
          <w:tcPr>
            <w:tcW w:w="3936" w:type="dxa"/>
          </w:tcPr>
          <w:p w14:paraId="22E4110C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9.7 Eine moderne Novelle gestaltend erschließen</w:t>
            </w:r>
          </w:p>
        </w:tc>
        <w:tc>
          <w:tcPr>
            <w:tcW w:w="670" w:type="dxa"/>
          </w:tcPr>
          <w:p w14:paraId="226EBE85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</w:tcPr>
          <w:p w14:paraId="0D8FC0E6" w14:textId="77777777" w:rsidR="00991629" w:rsidRPr="008759E3" w:rsidRDefault="00991629" w:rsidP="00865ED7">
            <w:pPr>
              <w:tabs>
                <w:tab w:val="left" w:pos="1000"/>
              </w:tabs>
              <w:rPr>
                <w:rFonts w:eastAsia="Times New Roman" w:cs="Times New Roman"/>
                <w:sz w:val="22"/>
                <w:szCs w:val="22"/>
              </w:rPr>
            </w:pPr>
            <w:r w:rsidRPr="008759E3">
              <w:rPr>
                <w:rFonts w:eastAsia="Times New Roman" w:cs="Times New Roman"/>
                <w:sz w:val="22"/>
                <w:szCs w:val="22"/>
              </w:rPr>
              <w:t>10.7 Expressionismus</w:t>
            </w:r>
          </w:p>
        </w:tc>
        <w:tc>
          <w:tcPr>
            <w:tcW w:w="599" w:type="dxa"/>
          </w:tcPr>
          <w:p w14:paraId="5EE7DD18" w14:textId="77777777" w:rsidR="00991629" w:rsidRPr="008759E3" w:rsidRDefault="00991629" w:rsidP="00865E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76400E7D" w14:textId="77777777" w:rsidR="00991629" w:rsidRDefault="00991629" w:rsidP="00991629">
      <w:pPr>
        <w:rPr>
          <w:rFonts w:eastAsia="Times New Roman" w:cs="Times New Roman"/>
        </w:rPr>
      </w:pPr>
    </w:p>
    <w:p w14:paraId="1278CD0C" w14:textId="77777777" w:rsidR="00991629" w:rsidRDefault="00991629">
      <w:pPr>
        <w:rPr>
          <w:rFonts w:asciiTheme="majorHAnsi" w:hAnsiTheme="majorHAnsi"/>
        </w:rPr>
      </w:pPr>
    </w:p>
    <w:p w14:paraId="3F5EFB62" w14:textId="77777777" w:rsidR="00991629" w:rsidRDefault="00991629">
      <w:pPr>
        <w:rPr>
          <w:rFonts w:asciiTheme="majorHAnsi" w:hAnsiTheme="majorHAnsi"/>
        </w:rPr>
      </w:pPr>
    </w:p>
    <w:p w14:paraId="39DEB705" w14:textId="77777777" w:rsidR="00991629" w:rsidRPr="00991629" w:rsidRDefault="00991629">
      <w:pPr>
        <w:rPr>
          <w:rFonts w:asciiTheme="majorHAnsi" w:hAnsiTheme="majorHAnsi"/>
        </w:rPr>
      </w:pPr>
    </w:p>
    <w:sectPr w:rsidR="00991629" w:rsidRPr="00991629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29"/>
    <w:rsid w:val="005D395A"/>
    <w:rsid w:val="00725499"/>
    <w:rsid w:val="00991629"/>
    <w:rsid w:val="00BF0408"/>
    <w:rsid w:val="00BF10C6"/>
    <w:rsid w:val="00F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F3E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4</cp:revision>
  <dcterms:created xsi:type="dcterms:W3CDTF">2018-02-12T17:14:00Z</dcterms:created>
  <dcterms:modified xsi:type="dcterms:W3CDTF">2018-04-12T16:55:00Z</dcterms:modified>
</cp:coreProperties>
</file>